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推荐对象名单</w:t>
      </w:r>
    </w:p>
    <w:p w14:paraId="13BF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0" w:firstLineChars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7B8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0" w:firstLineChars="0"/>
        <w:jc w:val="left"/>
        <w:textAlignment w:val="auto"/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</w:rPr>
        <w:t>一、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lang w:val="en-US" w:eastAsia="zh-CN"/>
        </w:rPr>
        <w:t>先进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</w:rPr>
        <w:t>集体</w:t>
      </w:r>
      <w:bookmarkStart w:id="0" w:name="_GoBack"/>
      <w:bookmarkEnd w:id="0"/>
    </w:p>
    <w:p w14:paraId="3453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金乡县自然资源和规划局</w:t>
      </w:r>
    </w:p>
    <w:p w14:paraId="4EC7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汶上县自然资源和规划局</w:t>
      </w:r>
    </w:p>
    <w:p w14:paraId="2A5DD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济宁市任城区自然资源综合服务中心</w:t>
      </w:r>
    </w:p>
    <w:p w14:paraId="4088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济宁市兖州区自然资源综合服务中心</w:t>
      </w:r>
    </w:p>
    <w:p w14:paraId="3F0A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微山县土地资源事务服务中心</w:t>
      </w:r>
    </w:p>
    <w:p w14:paraId="1C7B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梁山县规划服务中心</w:t>
      </w:r>
    </w:p>
    <w:p w14:paraId="4C5290A7">
      <w:pPr>
        <w:ind w:left="-199" w:leftChars="-95" w:firstLine="0" w:firstLineChars="0"/>
        <w:jc w:val="left"/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22"/>
          <w:lang w:eastAsia="zh-CN" w:bidi="ar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22"/>
          <w:lang w:val="en-US" w:eastAsia="zh-CN" w:bidi="ar"/>
        </w:rPr>
        <w:t>二、先进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22"/>
          <w:lang w:eastAsia="zh-CN" w:bidi="ar"/>
        </w:rPr>
        <w:t>个人</w:t>
      </w:r>
    </w:p>
    <w:p w14:paraId="180A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冯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爽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曲阜市自然资源和规划局党组书记、局长</w:t>
      </w:r>
    </w:p>
    <w:p w14:paraId="5EB7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侯端国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鱼台县自然资源和规划局一级科员</w:t>
      </w:r>
    </w:p>
    <w:p w14:paraId="585E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付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栋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济宁市不动产登记中心工程师</w:t>
      </w:r>
    </w:p>
    <w:p w14:paraId="793E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高翔宇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泗水县规划服务中心九级职员</w:t>
      </w:r>
    </w:p>
    <w:p w14:paraId="1DE7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羽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邹城市土地储备和规划事务中心综合管理岗</w:t>
      </w:r>
    </w:p>
    <w:p w14:paraId="7F12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孙德生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嘉祥县土地储备事务中心副主任</w:t>
      </w:r>
    </w:p>
    <w:p w14:paraId="3E67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right="-840" w:rightChars="-40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川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济宁高新技术产业开发区投资促进局产业招商科科长</w:t>
      </w:r>
    </w:p>
    <w:p w14:paraId="4960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right="-512" w:rightChars="-244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娜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济宁北湖省级旅游度假区财政金融局副科级干部</w:t>
      </w:r>
    </w:p>
    <w:p w14:paraId="1561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right="-512" w:rightChars="-244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杨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松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济宁经济开发区行政审批服务局党组成员、副局长</w:t>
      </w:r>
    </w:p>
    <w:p w14:paraId="7DB1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95" w:right="-840" w:rightChars="-40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7A15"/>
    <w:rsid w:val="7A3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24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2026-06-03T06:10:00Z</dcterms:created>
  <dc:creator>Lenovo</dc:creator>
  <cp:lastModifiedBy>Guichao</cp:lastModifiedBy>
  <cp:lastPrinted>2026-06-12T09:22:00Z</cp:lastPrinted>
  <dcterms:modified xsi:type="dcterms:W3CDTF">2026-06-12T09:23:04Z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eyJoZGlkIjoiMTAwMmY1Yzc4ZDNiYWI2NTQ4OWUxMjRlMzVkYWE1NGYiLCJ1c2VySWQiOiIyNzcxNjAxNTIifQ==</vt:lpwstr>
  </property>
  <property fmtid="{D5CDD505-2E9C-101B-9397-08002B2CF9AE}" pid="4" name="ICV">
    <vt:lpwstr>0C2D620A738547208EE9F26D7403002D_13</vt:lpwstr>
  </property>
</Properties>
</file>