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附件2</w:t>
      </w:r>
    </w:p>
    <w:p>
      <w:pPr>
        <w:pStyle w:val="3"/>
        <w:rPr>
          <w:rFonts w:hint="default" w:ascii="Times New Roman" w:hAnsi="Times New Roman" w:cs="Times New Roman"/>
          <w:b/>
          <w:bCs/>
          <w:color w:val="000000"/>
          <w:sz w:val="48"/>
          <w:szCs w:val="48"/>
          <w:highlight w:val="none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农业设施建设方案格式</w:t>
      </w:r>
    </w:p>
    <w:bookmarkEnd w:id="0"/>
    <w:p>
      <w:pPr>
        <w:spacing w:line="560" w:lineRule="exact"/>
        <w:ind w:firstLine="615"/>
        <w:jc w:val="left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</w:rPr>
      </w:pPr>
    </w:p>
    <w:p>
      <w:pPr>
        <w:spacing w:line="560" w:lineRule="exact"/>
        <w:ind w:firstLine="615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一、用地单位情况简介:包括企业名称、性质、成立时间、注册地、经营范围、效益情况等内容。</w:t>
      </w:r>
    </w:p>
    <w:p>
      <w:pPr>
        <w:spacing w:line="560" w:lineRule="exact"/>
        <w:ind w:firstLine="615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二、设施农业用地基本情况:包括设施农业用地位置、设施类型（种植、畜牧养殖、水产养殖）、生产数量、用地规模、用地地类及面积、经营年限、总投资、预估经济收益等内容，涉及的耕地要明确耕地质量等级；辅助设施用地面积、占地比例，建筑数量、建筑面积、建筑结构、层数、建设工期等方面的内容。</w:t>
      </w:r>
    </w:p>
    <w:p>
      <w:pPr>
        <w:spacing w:line="560" w:lineRule="exact"/>
        <w:ind w:firstLine="615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三、土地复垦措施：明确设施农业用地不再使用后，为恢复土地原用途，用地方需要采取的工程技术措施、生物化学措施、监测管护措施及资金保障措施等方面的内容。</w:t>
      </w:r>
    </w:p>
    <w:p>
      <w:pPr>
        <w:spacing w:line="560" w:lineRule="exact"/>
        <w:ind w:firstLine="615"/>
        <w:jc w:val="both"/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highlight w:val="none"/>
        </w:rPr>
        <w:t>四、图件资料：包括项目区土地利用现状图、规划图、勘测定界图（含矢量坐标）、拟建设施平面布局图等。</w:t>
      </w:r>
    </w:p>
    <w:p>
      <w:pPr>
        <w:pStyle w:val="3"/>
        <w:jc w:val="both"/>
        <w:rPr>
          <w:rFonts w:hint="default" w:ascii="Times New Roman" w:hAnsi="Times New Roman" w:eastAsia="微软雅黑" w:cs="Times New Roman"/>
          <w:color w:val="000000"/>
          <w:sz w:val="28"/>
          <w:szCs w:val="28"/>
          <w:highlight w:val="none"/>
        </w:rPr>
      </w:pPr>
    </w:p>
    <w:p>
      <w:pPr>
        <w:rPr>
          <w:rFonts w:hint="default" w:ascii="Times New Roman" w:hAnsi="Times New Roman" w:cs="Times New Roman"/>
          <w:color w:val="000000"/>
          <w:highlight w:val="none"/>
        </w:rPr>
      </w:pPr>
    </w:p>
    <w:p/>
    <w:sectPr>
      <w:headerReference r:id="rId3" w:type="default"/>
      <w:footerReference r:id="rId4" w:type="default"/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hint="default" w:eastAsia="宋体"/>
        <w:lang w:val="en-US" w:eastAsia="zh-CN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  <w:r>
      <w:rPr>
        <w:rFonts w:hint="eastAsia" w:ascii="宋体" w:hAnsi="宋体"/>
        <w:sz w:val="28"/>
        <w:szCs w:val="28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B4B24"/>
    <w:rsid w:val="066F4B86"/>
    <w:rsid w:val="077B68B8"/>
    <w:rsid w:val="53F41906"/>
    <w:rsid w:val="6ACB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Calibri" w:hAnsi="Calibri" w:eastAsia="宋体"/>
      <w:kern w:val="44"/>
      <w:sz w:val="7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页眉1"/>
    <w:qFormat/>
    <w:uiPriority w:val="0"/>
    <w:pPr>
      <w:widowControl w:val="0"/>
      <w:tabs>
        <w:tab w:val="center" w:pos="4153"/>
        <w:tab w:val="right" w:pos="8306"/>
      </w:tabs>
      <w:jc w:val="center"/>
    </w:pPr>
    <w:rPr>
      <w:rFonts w:ascii="Trebuchet MS" w:hAnsi="Trebuchet MS" w:eastAsia="ヒラギノ角ゴ Pro W3" w:cs="Times New Roman"/>
      <w:color w:val="000000"/>
      <w:kern w:val="2"/>
      <w:sz w:val="18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2023-02-13T02:43:00Z</dcterms:created>
  <dc:creator>清风牧歌</dc:creator>
  <cp:lastModifiedBy>清风牧歌</cp:lastModifiedBy>
  <dcterms:modified xsi:type="dcterms:W3CDTF">2023-02-13T02:49:16Z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