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hd w:val="clear" w:color="auto" w:fill="FFFFFF"/>
        <w:spacing w:line="560" w:lineRule="exact"/>
        <w:jc w:val="center"/>
        <w:rPr>
          <w:rFonts w:hint="eastAsia" w:ascii="方正小标宋简体" w:hAnsi="方正小标宋简体" w:eastAsia="方正小标宋简体" w:cs="方正小标宋简体"/>
          <w:color w:val="auto"/>
          <w:sz w:val="44"/>
          <w:szCs w:val="44"/>
          <w:shd w:val="clear" w:color="auto" w:fill="FFFFFF"/>
          <w:lang w:eastAsia="zh-CN"/>
        </w:rPr>
      </w:pPr>
    </w:p>
    <w:p>
      <w:pPr>
        <w:keepNext/>
        <w:shd w:val="clear" w:color="auto" w:fill="FFFFFF"/>
        <w:spacing w:line="560" w:lineRule="exact"/>
        <w:jc w:val="center"/>
        <w:rPr>
          <w:rFonts w:hint="eastAsia" w:ascii="方正小标宋简体" w:hAnsi="方正小标宋简体" w:eastAsia="方正小标宋简体" w:cs="方正小标宋简体"/>
          <w:color w:val="auto"/>
          <w:sz w:val="44"/>
          <w:szCs w:val="44"/>
          <w:shd w:val="clear" w:color="auto" w:fill="FFFFFF"/>
          <w:lang w:eastAsia="zh-CN"/>
        </w:rPr>
      </w:pPr>
    </w:p>
    <w:p>
      <w:pPr>
        <w:keepNext/>
        <w:shd w:val="clear" w:color="auto" w:fill="FFFFFF"/>
        <w:spacing w:line="560" w:lineRule="exact"/>
        <w:jc w:val="center"/>
        <w:rPr>
          <w:rFonts w:hint="eastAsia" w:ascii="方正小标宋简体" w:hAnsi="方正小标宋简体" w:eastAsia="方正小标宋简体" w:cs="方正小标宋简体"/>
          <w:color w:val="auto"/>
          <w:sz w:val="44"/>
          <w:szCs w:val="44"/>
          <w:shd w:val="clear" w:color="auto" w:fill="FFFFFF"/>
          <w:lang w:eastAsia="zh-CN"/>
        </w:rPr>
      </w:pPr>
    </w:p>
    <w:p>
      <w:pPr>
        <w:keepNext/>
        <w:shd w:val="clear" w:color="auto" w:fill="FFFFFF"/>
        <w:spacing w:line="560" w:lineRule="exact"/>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lang w:eastAsia="zh-CN"/>
        </w:rPr>
        <w:t>济宁市</w:t>
      </w:r>
      <w:r>
        <w:rPr>
          <w:rFonts w:hint="eastAsia" w:ascii="方正小标宋简体" w:hAnsi="方正小标宋简体" w:eastAsia="方正小标宋简体" w:cs="方正小标宋简体"/>
          <w:color w:val="auto"/>
          <w:sz w:val="44"/>
          <w:szCs w:val="44"/>
          <w:shd w:val="clear" w:color="auto" w:fill="FFFFFF"/>
        </w:rPr>
        <w:t>关于深化矿产资源管理改革</w:t>
      </w:r>
    </w:p>
    <w:p>
      <w:pPr>
        <w:keepNext/>
        <w:shd w:val="clear" w:color="auto" w:fill="FFFFFF"/>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color="auto" w:fill="FFFFFF"/>
        </w:rPr>
        <w:t>若干事项的实施意见</w:t>
      </w:r>
    </w:p>
    <w:p>
      <w:pPr>
        <w:pStyle w:val="12"/>
        <w:keepNext/>
        <w:spacing w:line="560" w:lineRule="exact"/>
        <w:rPr>
          <w:rStyle w:val="16"/>
          <w:rFonts w:ascii="方正仿宋简体" w:hAnsi="方正仿宋简体" w:eastAsia="方正仿宋简体" w:cs="方正仿宋简体"/>
          <w:b w:val="0"/>
          <w:color w:val="auto"/>
          <w:sz w:val="32"/>
          <w:szCs w:val="32"/>
        </w:rPr>
      </w:pPr>
    </w:p>
    <w:p>
      <w:pPr>
        <w:keepNext/>
        <w:spacing w:line="56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为深入贯彻落实《自然资源部关于深化矿产资源管理改革若干事项的意见》（自然资规〔2023〕6号）、省自然资源厅等7部门联合印发的《关于深化矿产资源管理改革若干事项的实施意见》（鲁自然资规〔2023〕6号）文件精神，持续深化矿产资源管理改革，提升矿产资源保障能力，结合济宁实际，制定本实施意见。</w:t>
      </w:r>
    </w:p>
    <w:p>
      <w:pPr>
        <w:pStyle w:val="12"/>
        <w:keepNext/>
        <w:spacing w:line="560" w:lineRule="exact"/>
        <w:ind w:firstLine="640" w:firstLineChars="200"/>
        <w:rPr>
          <w:rStyle w:val="16"/>
          <w:rFonts w:ascii="方正黑体简体" w:hAnsi="方正黑体简体" w:eastAsia="方正黑体简体" w:cs="方正黑体简体"/>
          <w:b w:val="0"/>
          <w:color w:val="auto"/>
          <w:sz w:val="32"/>
          <w:szCs w:val="32"/>
        </w:rPr>
      </w:pPr>
      <w:r>
        <w:rPr>
          <w:rStyle w:val="16"/>
          <w:rFonts w:hint="eastAsia" w:ascii="方正黑体简体" w:hAnsi="方正黑体简体" w:eastAsia="方正黑体简体" w:cs="方正黑体简体"/>
          <w:b w:val="0"/>
          <w:color w:val="auto"/>
          <w:sz w:val="32"/>
          <w:szCs w:val="32"/>
        </w:rPr>
        <w:t>一、认真贯彻落实</w:t>
      </w:r>
      <w:r>
        <w:rPr>
          <w:rStyle w:val="16"/>
          <w:rFonts w:hint="eastAsia" w:ascii="方正黑体简体" w:hAnsi="方正黑体简体" w:eastAsia="方正黑体简体" w:cs="方正黑体简体"/>
          <w:b w:val="0"/>
          <w:color w:val="auto"/>
          <w:sz w:val="32"/>
          <w:szCs w:val="32"/>
          <w:lang w:eastAsia="zh-CN"/>
        </w:rPr>
        <w:t>国家和省改革</w:t>
      </w:r>
      <w:r>
        <w:rPr>
          <w:rStyle w:val="16"/>
          <w:rFonts w:hint="eastAsia" w:ascii="方正黑体简体" w:hAnsi="方正黑体简体" w:eastAsia="方正黑体简体" w:cs="方正黑体简体"/>
          <w:b w:val="0"/>
          <w:color w:val="auto"/>
          <w:sz w:val="32"/>
          <w:szCs w:val="32"/>
        </w:rPr>
        <w:t>精神</w:t>
      </w:r>
    </w:p>
    <w:p>
      <w:pPr>
        <w:pStyle w:val="12"/>
        <w:keepNext/>
        <w:spacing w:line="56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矿产资源管理改革是深化“放管服”改革，提升资源保障能力，更好发挥政府作用的重要举措，自然资源部、省政府均从矿业权竞争性出让等方面提出了明确意见。各县（市、区）政府、各市直部门务必高度重视，认真抓好</w:t>
      </w:r>
      <w:r>
        <w:rPr>
          <w:rFonts w:hint="eastAsia" w:ascii="方正仿宋简体" w:hAnsi="方正仿宋简体" w:eastAsia="方正仿宋简体" w:cs="方正仿宋简体"/>
          <w:bCs/>
          <w:color w:val="auto"/>
          <w:sz w:val="32"/>
          <w:szCs w:val="32"/>
          <w:lang w:eastAsia="zh-CN"/>
        </w:rPr>
        <w:t>国家和省矿产资源管理改革精神的</w:t>
      </w:r>
      <w:r>
        <w:rPr>
          <w:rFonts w:hint="eastAsia" w:ascii="方正仿宋简体" w:hAnsi="方正仿宋简体" w:eastAsia="方正仿宋简体" w:cs="方正仿宋简体"/>
          <w:bCs/>
          <w:color w:val="auto"/>
          <w:sz w:val="32"/>
          <w:szCs w:val="32"/>
        </w:rPr>
        <w:t>学习宣传和贯彻落实，围绕新政策、新要求，对现有政策进行全面梳理，提升服务效率，规范监督管理，促进矿业高质量发展，保障能源资源安全。</w:t>
      </w:r>
    </w:p>
    <w:p>
      <w:pPr>
        <w:pStyle w:val="12"/>
        <w:keepNext/>
        <w:spacing w:line="560" w:lineRule="exact"/>
        <w:ind w:firstLine="640" w:firstLineChars="200"/>
        <w:rPr>
          <w:rStyle w:val="16"/>
          <w:rFonts w:ascii="方正黑体简体" w:hAnsi="方正黑体简体" w:eastAsia="方正黑体简体" w:cs="方正黑体简体"/>
          <w:b w:val="0"/>
          <w:color w:val="auto"/>
          <w:sz w:val="32"/>
          <w:szCs w:val="32"/>
        </w:rPr>
      </w:pPr>
      <w:r>
        <w:rPr>
          <w:rStyle w:val="16"/>
          <w:rFonts w:hint="eastAsia" w:ascii="方正黑体简体" w:hAnsi="方正黑体简体" w:eastAsia="方正黑体简体" w:cs="方正黑体简体"/>
          <w:b w:val="0"/>
          <w:color w:val="auto"/>
          <w:sz w:val="32"/>
          <w:szCs w:val="32"/>
        </w:rPr>
        <w:t>二、明确矿业权出让登记权限</w:t>
      </w:r>
    </w:p>
    <w:p>
      <w:pPr>
        <w:pStyle w:val="12"/>
        <w:keepNext/>
        <w:spacing w:line="56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实行同一矿种矿业权同级管理制度。市自然资源主管部门负责部、省出让登记矿种以及普通建筑用砂石土类矿产以外矿种的矿业权出让登记；县(市、区)自然资源主管部门负责普通建筑用砂石土类矿产采矿权出让登记。实施行政审批综合改革的县(市、区)，按上述出让登记权限，矿业权出让登记部门由同级政府确定。</w:t>
      </w:r>
    </w:p>
    <w:p>
      <w:pPr>
        <w:pStyle w:val="12"/>
        <w:keepNext/>
        <w:spacing w:line="56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新设矿业权原则上不跨县级行政区域，确需跨行政区域的，出让登记权限由市级自然资源主管部门指定。主矿种发生变更的，按照变更后主矿种的权限进行管理。</w:t>
      </w:r>
    </w:p>
    <w:p>
      <w:pPr>
        <w:pStyle w:val="12"/>
        <w:keepNext/>
        <w:spacing w:line="560" w:lineRule="exact"/>
        <w:ind w:firstLine="640" w:firstLineChars="200"/>
        <w:rPr>
          <w:rStyle w:val="16"/>
          <w:rFonts w:ascii="方正黑体简体" w:hAnsi="方正黑体简体" w:eastAsia="方正黑体简体" w:cs="方正黑体简体"/>
          <w:b w:val="0"/>
          <w:color w:val="auto"/>
          <w:sz w:val="32"/>
          <w:szCs w:val="32"/>
        </w:rPr>
      </w:pPr>
      <w:r>
        <w:rPr>
          <w:rStyle w:val="16"/>
          <w:rFonts w:hint="eastAsia" w:ascii="方正黑体简体" w:hAnsi="方正黑体简体" w:eastAsia="方正黑体简体" w:cs="方正黑体简体"/>
          <w:b w:val="0"/>
          <w:color w:val="auto"/>
          <w:sz w:val="32"/>
          <w:szCs w:val="32"/>
        </w:rPr>
        <w:t>三、从严控制矿业权协议出让</w:t>
      </w:r>
    </w:p>
    <w:p>
      <w:pPr>
        <w:pStyle w:val="12"/>
        <w:keepNext/>
        <w:spacing w:line="560" w:lineRule="exact"/>
        <w:ind w:firstLine="640" w:firstLineChars="200"/>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lang w:val="en-US" w:eastAsia="zh-CN"/>
        </w:rPr>
        <w:t>按照上级相关规定，</w:t>
      </w:r>
      <w:r>
        <w:rPr>
          <w:rFonts w:hint="eastAsia" w:ascii="方正仿宋简体" w:hAnsi="方正仿宋简体" w:eastAsia="方正仿宋简体" w:cs="方正仿宋简体"/>
          <w:bCs/>
          <w:color w:val="auto"/>
          <w:sz w:val="32"/>
          <w:szCs w:val="32"/>
          <w:lang w:eastAsia="zh-CN"/>
        </w:rPr>
        <w:t>协议出让情形包括：一是</w:t>
      </w: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稀土、放射性矿产勘查开采项目或国务院批准的重点建设项目，自然资源主管部门可以协议方式向特定主体出让矿业权。</w:t>
      </w:r>
      <w:r>
        <w:rPr>
          <w:rFonts w:hint="eastAsia" w:ascii="方正仿宋简体" w:hAnsi="方正仿宋简体" w:eastAsia="方正仿宋简体" w:cs="方正仿宋简体"/>
          <w:bCs/>
          <w:color w:val="auto"/>
          <w:sz w:val="32"/>
          <w:szCs w:val="32"/>
        </w:rPr>
        <w:t>对国务院批准的重点建设项目，自然资源主管部门以协议方式向特定主体出让矿业权的，须按出让登记权限报请同级政府同意。</w:t>
      </w: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二是</w:t>
      </w:r>
      <w:r>
        <w:rPr>
          <w:rFonts w:hint="default" w:ascii="Times New Roman" w:hAnsi="Times New Roman" w:eastAsia="方正仿宋简体" w:cs="Times New Roman"/>
          <w:bCs/>
          <w:color w:val="auto"/>
          <w:kern w:val="2"/>
          <w:sz w:val="32"/>
          <w:szCs w:val="32"/>
          <w:lang w:val="en-US" w:eastAsia="zh-CN" w:bidi="ar-SA"/>
        </w:rPr>
        <w:t>基于矿山安全生产和矿业权设置合理性等要求，需要利用原有生产系统进一步勘查开采矿产资源</w:t>
      </w:r>
      <w:r>
        <w:rPr>
          <w:rFonts w:hint="eastAsia" w:ascii="方正仿宋简体" w:hAnsi="方正仿宋简体" w:eastAsia="方正仿宋简体" w:cs="方正仿宋简体"/>
          <w:bCs/>
          <w:sz w:val="32"/>
          <w:szCs w:val="32"/>
        </w:rPr>
        <w:t>（普通建筑用砂石土类矿产除外）</w:t>
      </w:r>
      <w:r>
        <w:rPr>
          <w:rFonts w:hint="default" w:ascii="Times New Roman" w:hAnsi="Times New Roman" w:eastAsia="方正仿宋简体" w:cs="Times New Roman"/>
          <w:bCs/>
          <w:color w:val="auto"/>
          <w:kern w:val="2"/>
          <w:sz w:val="32"/>
          <w:szCs w:val="32"/>
          <w:lang w:val="en-US" w:eastAsia="zh-CN" w:bidi="ar-SA"/>
        </w:rPr>
        <w:t>的已设采矿权深部或上部、周边、零星分散资源，以及属同一主体相邻矿业权之间、同一采矿权不同矿段之间距离 300 米左右的夹缝区域，可以直接以协议方式出让。已设采矿权周边、零星分散资源协议出让不得“以小博大”，且应符合自然资源部有关政策解释或答复中明确的条件。</w:t>
      </w:r>
    </w:p>
    <w:p>
      <w:pPr>
        <w:pStyle w:val="12"/>
        <w:keepNext/>
        <w:spacing w:line="560" w:lineRule="exact"/>
        <w:ind w:firstLine="640" w:firstLineChars="200"/>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pPr>
      <w:r>
        <w:rPr>
          <w:rFonts w:hint="eastAsia" w:ascii="方正仿宋简体" w:hAnsi="方正仿宋简体" w:eastAsia="方正仿宋简体" w:cs="方正仿宋简体"/>
          <w:bCs/>
          <w:color w:val="auto"/>
          <w:sz w:val="32"/>
          <w:szCs w:val="32"/>
        </w:rPr>
        <w:t>矿业权协议出让前，应由所在地县(市、区)政府组织专家就协议出让情形符合性、资源利用合理性以及安全开采等方面开展论证，市自然资源主管部门负责出让登记的，须经县（市、区）政府同意。出让结果及相关信息须向社会公示。协议出让的新设矿业权原则上5年内不得转让，国家和省另有规定的除外。</w:t>
      </w:r>
    </w:p>
    <w:p>
      <w:pPr>
        <w:pStyle w:val="12"/>
        <w:keepNext/>
        <w:spacing w:line="560" w:lineRule="exact"/>
        <w:ind w:firstLine="640" w:firstLineChars="200"/>
        <w:rPr>
          <w:rFonts w:hint="eastAsia" w:ascii="方正仿宋简体" w:hAnsi="方正仿宋简体" w:eastAsia="方正仿宋简体" w:cs="方正仿宋简体"/>
          <w:bCs/>
          <w:color w:val="auto"/>
          <w:sz w:val="32"/>
          <w:szCs w:val="32"/>
          <w:lang w:val="en-US" w:eastAsia="zh-CN"/>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普通建筑用砂石土类矿产,除具备协议出让的特殊情形外，</w:t>
      </w:r>
      <w:r>
        <w:rPr>
          <w:rFonts w:hint="eastAsia" w:ascii="方正仿宋简体" w:hAnsi="方正仿宋简体" w:eastAsia="方正仿宋简体" w:cs="方正仿宋简体"/>
          <w:bCs/>
          <w:color w:val="auto"/>
          <w:sz w:val="32"/>
          <w:szCs w:val="32"/>
        </w:rPr>
        <w:t>一律以招标、拍卖、挂牌方式公开竞争出让矿业权。</w:t>
      </w:r>
      <w:r>
        <w:rPr>
          <w:rFonts w:hint="eastAsia" w:ascii="方正仿宋简体" w:hAnsi="方正仿宋简体" w:eastAsia="方正仿宋简体" w:cs="方正仿宋简体"/>
          <w:bCs/>
          <w:color w:val="auto"/>
          <w:sz w:val="32"/>
          <w:szCs w:val="32"/>
          <w:lang w:val="en-US" w:eastAsia="zh-CN"/>
        </w:rPr>
        <w:t xml:space="preserve">  </w:t>
      </w:r>
    </w:p>
    <w:p>
      <w:pPr>
        <w:pStyle w:val="12"/>
        <w:keepNext/>
        <w:spacing w:line="560" w:lineRule="exact"/>
        <w:ind w:firstLine="640" w:firstLineChars="200"/>
        <w:rPr>
          <w:rFonts w:ascii="方正黑体简体" w:hAnsi="方正仿宋简体" w:eastAsia="方正黑体简体" w:cs="方正仿宋简体"/>
          <w:bCs/>
          <w:color w:val="auto"/>
          <w:sz w:val="32"/>
          <w:szCs w:val="32"/>
        </w:rPr>
      </w:pPr>
      <w:r>
        <w:rPr>
          <w:rFonts w:hint="eastAsia" w:ascii="方正黑体简体" w:hAnsi="方正仿宋简体" w:eastAsia="方正黑体简体" w:cs="方正仿宋简体"/>
          <w:bCs/>
          <w:color w:val="auto"/>
          <w:sz w:val="32"/>
          <w:szCs w:val="32"/>
        </w:rPr>
        <w:t>四、积极推进“净矿”出让</w:t>
      </w:r>
    </w:p>
    <w:p>
      <w:pPr>
        <w:pStyle w:val="12"/>
        <w:keepNext/>
        <w:spacing w:line="56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县(市、区)政府、市</w:t>
      </w:r>
      <w:bookmarkStart w:id="0" w:name="_GoBack"/>
      <w:bookmarkEnd w:id="0"/>
      <w:r>
        <w:rPr>
          <w:rFonts w:hint="eastAsia" w:ascii="方正仿宋简体" w:hAnsi="方正仿宋简体" w:eastAsia="方正仿宋简体" w:cs="方正仿宋简体"/>
          <w:bCs/>
          <w:color w:val="auto"/>
          <w:sz w:val="32"/>
          <w:szCs w:val="32"/>
        </w:rPr>
        <w:t>直部门要加强对“净矿”出让工作的组织领导，探索构建“政府负责、部门协同、公众参与、社会监督”的工作机制，明确责任分工、保障工作经费，做好矿业权“净矿”出让前期工作。落实“净矿”出让工作要求，统筹考虑产业政策、规划布局、耕地和永久基本农田保护红线、生态保护红线、自然保护地等管控规则，建立矿业权出让项目库，合理确定出让范围，做好与用地用林用草等审批事项和管理政策的衔接，避免后续出现禁止性障碍和权属纠纷。</w:t>
      </w:r>
    </w:p>
    <w:p>
      <w:pPr>
        <w:pStyle w:val="12"/>
        <w:keepNext/>
        <w:spacing w:line="560" w:lineRule="exact"/>
        <w:ind w:firstLine="640" w:firstLineChars="200"/>
        <w:rPr>
          <w:rFonts w:hint="eastAsia" w:ascii="方正黑体简体" w:hAnsi="方正黑体简体" w:eastAsia="方正黑体简体" w:cs="方正黑体简体"/>
          <w:bCs/>
          <w:color w:val="auto"/>
          <w:sz w:val="32"/>
          <w:szCs w:val="32"/>
        </w:rPr>
      </w:pPr>
      <w:r>
        <w:rPr>
          <w:rFonts w:hint="eastAsia" w:ascii="方正黑体简体" w:hAnsi="方正黑体简体" w:eastAsia="方正黑体简体" w:cs="方正黑体简体"/>
          <w:bCs/>
          <w:color w:val="auto"/>
          <w:sz w:val="32"/>
          <w:szCs w:val="32"/>
          <w:lang w:eastAsia="zh-CN"/>
        </w:rPr>
        <w:t>五、</w:t>
      </w:r>
      <w:r>
        <w:rPr>
          <w:rFonts w:hint="eastAsia" w:ascii="方正黑体简体" w:hAnsi="方正黑体简体" w:eastAsia="方正黑体简体" w:cs="方正黑体简体"/>
          <w:bCs/>
          <w:color w:val="auto"/>
          <w:sz w:val="32"/>
          <w:szCs w:val="32"/>
        </w:rPr>
        <w:t>强化矿产资源</w:t>
      </w:r>
      <w:r>
        <w:rPr>
          <w:rFonts w:hint="eastAsia" w:ascii="方正黑体简体" w:hAnsi="方正黑体简体" w:eastAsia="方正黑体简体" w:cs="方正黑体简体"/>
          <w:bCs/>
          <w:color w:val="auto"/>
          <w:sz w:val="32"/>
          <w:szCs w:val="32"/>
          <w:lang w:eastAsia="zh-CN"/>
        </w:rPr>
        <w:t>开采登记</w:t>
      </w:r>
      <w:r>
        <w:rPr>
          <w:rFonts w:hint="eastAsia" w:ascii="方正黑体简体" w:hAnsi="方正黑体简体" w:eastAsia="方正黑体简体" w:cs="方正黑体简体"/>
          <w:bCs/>
          <w:color w:val="auto"/>
          <w:sz w:val="32"/>
          <w:szCs w:val="32"/>
        </w:rPr>
        <w:t>管理</w:t>
      </w:r>
    </w:p>
    <w:p>
      <w:pPr>
        <w:pStyle w:val="12"/>
        <w:keepNext/>
        <w:spacing w:line="560" w:lineRule="exact"/>
        <w:ind w:firstLine="640" w:firstLineChars="200"/>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eastAsia="zh-CN"/>
        </w:rPr>
        <w:t>县（市、区）出让登记的普通建筑用砂石土类矿产，出让前自然资源主管部门应当组织开展必要的地质工作，测算资源储量，以公开竞争方式直接出让采矿权。新设露天矿山要严格避免矿区范围占压耕地。矿产资源开发利用方案由自然资源主管部门按出让登记权限组织审查，所需经费纳入同级财政预算，不得收取采矿权人费用。已按原矿区范围缴纳出让收益，因避让原生态保护红线或自然保护地等已办理缩小矿区范围变更手续，现缩减范围不再处于公布实施的生态保护红线或自然保护地等范围内的，采矿权人可按规定申请办理扩大矿区范围变更手续，变更矿区范围不得超过原矿区范围。</w:t>
      </w:r>
    </w:p>
    <w:p>
      <w:pPr>
        <w:pStyle w:val="12"/>
        <w:keepNext/>
        <w:spacing w:line="560" w:lineRule="exact"/>
        <w:ind w:firstLine="640" w:firstLineChars="200"/>
        <w:rPr>
          <w:rFonts w:ascii="方正黑体简体" w:hAnsi="方正仿宋简体" w:eastAsia="方正黑体简体" w:cs="方正仿宋简体"/>
          <w:bCs/>
          <w:color w:val="auto"/>
          <w:sz w:val="32"/>
          <w:szCs w:val="32"/>
        </w:rPr>
      </w:pPr>
      <w:r>
        <w:rPr>
          <w:rFonts w:hint="eastAsia" w:ascii="方正黑体简体" w:hAnsi="方正仿宋简体" w:eastAsia="方正黑体简体" w:cs="方正仿宋简体"/>
          <w:b w:val="0"/>
          <w:bCs w:val="0"/>
          <w:color w:val="auto"/>
          <w:sz w:val="32"/>
          <w:szCs w:val="32"/>
          <w:lang w:eastAsia="zh-CN"/>
        </w:rPr>
        <w:t>六</w:t>
      </w:r>
      <w:r>
        <w:rPr>
          <w:rFonts w:hint="eastAsia" w:ascii="方正黑体简体" w:hAnsi="方正仿宋简体" w:eastAsia="方正黑体简体" w:cs="方正仿宋简体"/>
          <w:b w:val="0"/>
          <w:bCs w:val="0"/>
          <w:color w:val="auto"/>
          <w:sz w:val="32"/>
          <w:szCs w:val="32"/>
        </w:rPr>
        <w:t>、规范和完善砂石开采管</w:t>
      </w:r>
      <w:r>
        <w:rPr>
          <w:rFonts w:hint="eastAsia" w:ascii="方正黑体简体" w:hAnsi="方正仿宋简体" w:eastAsia="方正黑体简体" w:cs="方正仿宋简体"/>
          <w:b/>
          <w:bCs/>
          <w:color w:val="auto"/>
          <w:sz w:val="32"/>
          <w:szCs w:val="32"/>
        </w:rPr>
        <w:t>理</w:t>
      </w:r>
    </w:p>
    <w:p>
      <w:pPr>
        <w:pStyle w:val="6"/>
        <w:spacing w:after="0" w:line="560" w:lineRule="exact"/>
        <w:ind w:firstLine="640" w:firstLineChars="200"/>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各县（市、区）政府是规范和完善砂石开采管理的责任主体，负责研究制定具体制度和措施，明确各部门职责分工，共同维护砂石资源管理秩序。河道（含水库）内砂石资源管理按相关规定执行。</w:t>
      </w:r>
    </w:p>
    <w:p>
      <w:pPr>
        <w:pStyle w:val="6"/>
        <w:spacing w:after="0" w:line="560" w:lineRule="exact"/>
        <w:ind w:firstLine="640" w:firstLineChars="200"/>
        <w:rPr>
          <w:rFonts w:hint="eastAsia"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各类建设项目需动用砂石的，项目建设单位需编制砂石料利 用方案，明确砂石料利用量、利用方式、处置方式等，由项目所 在地县（市、区）自然资源主管部门报同级政府组织论证后向社 会公示公开，并抄送所在地设区的市自然资源主管部门。在自然 资源主管部门批准的</w:t>
      </w:r>
      <w:r>
        <w:rPr>
          <w:rFonts w:hint="eastAsia" w:ascii="Times New Roman" w:hAnsi="Times New Roman" w:eastAsia="方正仿宋简体" w:cs="Times New Roman"/>
          <w:bCs/>
          <w:color w:val="auto"/>
          <w:sz w:val="32"/>
          <w:szCs w:val="32"/>
          <w:lang w:val="en-US" w:eastAsia="zh-CN"/>
        </w:rPr>
        <w:t>能源、交通、水利、军事等</w:t>
      </w:r>
      <w:r>
        <w:rPr>
          <w:rFonts w:ascii="Times New Roman" w:hAnsi="Times New Roman" w:eastAsia="方正仿宋简体" w:cs="Times New Roman"/>
          <w:bCs/>
          <w:color w:val="auto"/>
          <w:sz w:val="32"/>
          <w:szCs w:val="32"/>
        </w:rPr>
        <w:t>建设项目用地（不含临时用地）范围内，因工程施工产生的砂石料可直接用于该工程建设，不办理采矿许可证；上述自用仍有剩余的砂石料，由所在地县（市、区）政府组织纳入公共资源交易平台处置</w:t>
      </w:r>
      <w:r>
        <w:rPr>
          <w:rFonts w:hint="eastAsia" w:ascii="Times New Roman" w:hAnsi="Times New Roman" w:eastAsia="方正仿宋简体" w:cs="Times New Roman"/>
          <w:bCs/>
          <w:color w:val="auto"/>
          <w:sz w:val="32"/>
          <w:szCs w:val="32"/>
          <w:lang w:eastAsia="zh-CN"/>
        </w:rPr>
        <w:t>，</w:t>
      </w:r>
      <w:r>
        <w:rPr>
          <w:rFonts w:hint="eastAsia" w:ascii="Times New Roman" w:hAnsi="Times New Roman" w:eastAsia="方正仿宋简体" w:cs="Times New Roman"/>
          <w:bCs/>
          <w:color w:val="auto"/>
          <w:sz w:val="32"/>
          <w:szCs w:val="32"/>
          <w:lang w:val="en-US" w:eastAsia="zh-CN"/>
        </w:rPr>
        <w:t>销售收益全部纳入预算管理</w:t>
      </w:r>
      <w:r>
        <w:rPr>
          <w:rFonts w:ascii="Times New Roman" w:hAnsi="Times New Roman" w:eastAsia="方正仿宋简体" w:cs="Times New Roman"/>
          <w:bCs/>
          <w:color w:val="auto"/>
          <w:sz w:val="32"/>
          <w:szCs w:val="32"/>
        </w:rPr>
        <w:t>。各县（市、区）有关行业主管部门应加强辖区内本行业领域建设项目实施监管，督促指导项目建设单位编制、报备并严格执行砂石料利用方案，严禁擅自扩大施工范围采挖砂石，以及私自出售或以赠予为名擅自处置工程建设动用的砂石料。处置收益按照“其他非经营性国有资产收入”缴入同级国库，纳入财政预算管理。</w:t>
      </w:r>
      <w:r>
        <w:rPr>
          <w:rFonts w:hint="eastAsia" w:ascii="Times New Roman" w:hAnsi="Times New Roman" w:eastAsia="方正仿宋简体" w:cs="Times New Roman"/>
          <w:bCs/>
          <w:color w:val="auto"/>
          <w:sz w:val="32"/>
          <w:szCs w:val="32"/>
        </w:rPr>
        <w:t>各市直有关行业主管部门应对县（市、区）相关工作加强监督指导。</w:t>
      </w:r>
    </w:p>
    <w:p>
      <w:pPr>
        <w:pStyle w:val="6"/>
        <w:spacing w:after="0" w:line="560" w:lineRule="exact"/>
        <w:ind w:firstLine="640" w:firstLineChars="200"/>
        <w:rPr>
          <w:rFonts w:hint="default" w:ascii="Times New Roman" w:hAnsi="Times New Roman" w:eastAsia="方正仿宋简体" w:cs="Times New Roman"/>
          <w:bCs/>
          <w:color w:val="auto"/>
          <w:sz w:val="32"/>
          <w:szCs w:val="32"/>
          <w:lang w:val="en-US" w:eastAsia="zh-CN"/>
        </w:rPr>
      </w:pPr>
      <w:r>
        <w:rPr>
          <w:rFonts w:hint="eastAsia" w:ascii="Times New Roman" w:hAnsi="Times New Roman" w:eastAsia="方正仿宋简体" w:cs="Times New Roman"/>
          <w:bCs/>
          <w:color w:val="auto"/>
          <w:sz w:val="32"/>
          <w:szCs w:val="32"/>
          <w:lang w:val="en-US" w:eastAsia="zh-CN"/>
        </w:rPr>
        <w:t>对政府组织实施的各类生态修复项目或工程，因削坡减菏、危岩体卸载等修复工程新产生的土石料或原地遗留的土石料资源，可无偿用于本项目区范围内的修复工程。新产生的土石料或原地遗留的土石料优先用于矿山修复工程，确有剩余的，由县级人民政府纳入公共资源交易平台对外销售，销售收益全部纳入预算管理，全部用于本地区矿山生态修复，不得挪作他用。</w:t>
      </w:r>
    </w:p>
    <w:p>
      <w:pPr>
        <w:pStyle w:val="12"/>
        <w:keepNext/>
        <w:spacing w:line="560" w:lineRule="exact"/>
        <w:ind w:firstLine="640" w:firstLineChars="200"/>
        <w:rPr>
          <w:rStyle w:val="16"/>
          <w:rFonts w:hint="default" w:ascii="方正黑体简体" w:hAnsi="方正黑体简体" w:eastAsia="方正黑体简体" w:cs="方正黑体简体"/>
          <w:b w:val="0"/>
          <w:bCs/>
          <w:color w:val="auto"/>
          <w:sz w:val="32"/>
          <w:szCs w:val="32"/>
          <w:lang w:val="en-US" w:eastAsia="zh-CN"/>
        </w:rPr>
      </w:pPr>
      <w:r>
        <w:rPr>
          <w:rStyle w:val="16"/>
          <w:rFonts w:hint="eastAsia" w:ascii="方正黑体简体" w:hAnsi="方正黑体简体" w:eastAsia="方正黑体简体" w:cs="方正黑体简体"/>
          <w:b w:val="0"/>
          <w:bCs/>
          <w:color w:val="auto"/>
          <w:sz w:val="32"/>
          <w:szCs w:val="32"/>
          <w:lang w:val="en-US" w:eastAsia="zh-CN"/>
        </w:rPr>
        <w:t>七、创新露天矿山资源开发和修复治理监管模式</w:t>
      </w:r>
    </w:p>
    <w:p>
      <w:pPr>
        <w:pStyle w:val="12"/>
        <w:keepNext/>
        <w:spacing w:line="560" w:lineRule="exact"/>
        <w:ind w:firstLine="640" w:firstLineChars="200"/>
        <w:rPr>
          <w:rStyle w:val="16"/>
          <w:rFonts w:hint="default" w:ascii="方正仿宋简体" w:hAnsi="方正仿宋简体" w:eastAsia="方正仿宋简体" w:cs="方正仿宋简体"/>
          <w:b w:val="0"/>
          <w:bCs/>
          <w:color w:val="auto"/>
          <w:sz w:val="32"/>
          <w:szCs w:val="32"/>
          <w:lang w:val="en-US" w:eastAsia="zh-CN"/>
        </w:rPr>
      </w:pPr>
      <w:r>
        <w:rPr>
          <w:rStyle w:val="16"/>
          <w:rFonts w:hint="eastAsia" w:ascii="方正仿宋简体" w:hAnsi="方正仿宋简体" w:eastAsia="方正仿宋简体" w:cs="方正仿宋简体"/>
          <w:b w:val="0"/>
          <w:bCs/>
          <w:color w:val="auto"/>
          <w:sz w:val="32"/>
          <w:szCs w:val="32"/>
          <w:lang w:val="en-US" w:eastAsia="zh-CN"/>
        </w:rPr>
        <w:t>坚持生态优先、绿色发展，提升露天矿山精细化管理水平。探索建立露天矿山采修平衡、采矿终了工作机制，压减矿山年度开采破损区域上限，提高年度修复治理区域下限，保持年度内矿山开采破损区域上限修复区保持动态平衡，实现矿山开采结束修复完成。探索实施矿山修复项目“数模监管”制度，探索推进矿山修复项目实施监管四个“三维”，即三维设计、三维监理、三维验收、三维管护。</w:t>
      </w:r>
    </w:p>
    <w:p>
      <w:pPr>
        <w:pStyle w:val="12"/>
        <w:keepNext/>
        <w:spacing w:line="560" w:lineRule="exact"/>
        <w:ind w:firstLine="640" w:firstLineChars="200"/>
        <w:rPr>
          <w:rStyle w:val="16"/>
          <w:rFonts w:ascii="方正黑体简体" w:hAnsi="方正黑体简体" w:eastAsia="方正黑体简体" w:cs="方正黑体简体"/>
          <w:b w:val="0"/>
          <w:bCs/>
          <w:color w:val="auto"/>
          <w:sz w:val="32"/>
          <w:szCs w:val="32"/>
        </w:rPr>
      </w:pPr>
      <w:r>
        <w:rPr>
          <w:rStyle w:val="16"/>
          <w:rFonts w:hint="eastAsia" w:ascii="方正黑体简体" w:hAnsi="方正黑体简体" w:eastAsia="方正黑体简体" w:cs="方正黑体简体"/>
          <w:b w:val="0"/>
          <w:bCs/>
          <w:color w:val="auto"/>
          <w:sz w:val="32"/>
          <w:szCs w:val="32"/>
          <w:lang w:val="en-US" w:eastAsia="zh-CN"/>
        </w:rPr>
        <w:t>八</w:t>
      </w:r>
      <w:r>
        <w:rPr>
          <w:rStyle w:val="16"/>
          <w:rFonts w:ascii="方正黑体简体" w:hAnsi="方正黑体简体" w:eastAsia="方正黑体简体" w:cs="方正黑体简体"/>
          <w:b w:val="0"/>
          <w:bCs/>
          <w:color w:val="auto"/>
          <w:sz w:val="32"/>
          <w:szCs w:val="32"/>
        </w:rPr>
        <w:t>、完善矿产资源储量评审备案管理</w:t>
      </w:r>
    </w:p>
    <w:p>
      <w:pPr>
        <w:pStyle w:val="6"/>
        <w:spacing w:after="0" w:line="560" w:lineRule="exact"/>
        <w:ind w:firstLine="640" w:firstLineChars="200"/>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市、县（市、区）出让登记矿种的储量评审备案工作由市自然资源主管部门负责。自然资源主管部门可委托矿产资源储量评审机构按规定组织开展评审备案，相关工作费用纳入本级财政预算。因矿业权出让收益处置、矿产地储备等工作，需要核实资源储量的，可采取只评审不备案的形式，评审后的矿产资源储量报告作为相关工作的依据。</w:t>
      </w:r>
    </w:p>
    <w:p>
      <w:pPr>
        <w:pStyle w:val="6"/>
        <w:spacing w:after="0" w:line="560" w:lineRule="exact"/>
        <w:ind w:firstLine="640" w:firstLineChars="200"/>
        <w:rPr>
          <w:rStyle w:val="16"/>
          <w:rFonts w:ascii="方正黑体简体" w:hAnsi="方正黑体简体" w:eastAsia="方正黑体简体" w:cs="方正黑体简体"/>
          <w:b w:val="0"/>
          <w:bCs/>
          <w:color w:val="auto"/>
          <w:sz w:val="32"/>
          <w:szCs w:val="32"/>
        </w:rPr>
      </w:pPr>
      <w:r>
        <w:rPr>
          <w:rStyle w:val="16"/>
          <w:rFonts w:hint="eastAsia" w:ascii="方正黑体简体" w:hAnsi="方正黑体简体" w:eastAsia="方正黑体简体" w:cs="方正黑体简体"/>
          <w:b w:val="0"/>
          <w:bCs/>
          <w:color w:val="auto"/>
          <w:sz w:val="32"/>
          <w:szCs w:val="32"/>
          <w:lang w:val="en-US" w:eastAsia="zh-CN"/>
        </w:rPr>
        <w:t>九</w:t>
      </w:r>
      <w:r>
        <w:rPr>
          <w:rStyle w:val="16"/>
          <w:rFonts w:ascii="方正黑体简体" w:hAnsi="方正黑体简体" w:eastAsia="方正黑体简体" w:cs="方正黑体简体"/>
          <w:b w:val="0"/>
          <w:bCs/>
          <w:color w:val="auto"/>
          <w:sz w:val="32"/>
          <w:szCs w:val="32"/>
        </w:rPr>
        <w:t>、规范财政出资地质勘查工作</w:t>
      </w:r>
    </w:p>
    <w:p>
      <w:pPr>
        <w:pStyle w:val="6"/>
        <w:spacing w:after="0" w:line="560" w:lineRule="exact"/>
        <w:ind w:firstLine="640" w:firstLineChars="200"/>
        <w:rPr>
          <w:rFonts w:ascii="Times New Roman" w:hAnsi="Times New Roman" w:eastAsia="方正仿宋简体" w:cs="Times New Roman"/>
          <w:bCs/>
          <w:color w:val="auto"/>
        </w:rPr>
      </w:pPr>
      <w:r>
        <w:rPr>
          <w:rFonts w:ascii="Times New Roman" w:hAnsi="Times New Roman" w:eastAsia="方正仿宋简体" w:cs="Times New Roman"/>
          <w:bCs/>
          <w:color w:val="auto"/>
          <w:sz w:val="32"/>
          <w:szCs w:val="32"/>
        </w:rPr>
        <w:t>财政出资勘查项目，凭项目任务书或勘查合同开展地质勘查工作，不设置探矿权</w:t>
      </w:r>
      <w:r>
        <w:rPr>
          <w:rFonts w:hint="eastAsia" w:ascii="Times New Roman" w:hAnsi="Times New Roman" w:eastAsia="方正仿宋简体" w:cs="Times New Roman"/>
          <w:bCs/>
          <w:color w:val="auto"/>
          <w:sz w:val="32"/>
          <w:szCs w:val="32"/>
        </w:rPr>
        <w:t>；</w:t>
      </w:r>
      <w:r>
        <w:rPr>
          <w:rFonts w:ascii="Times New Roman" w:hAnsi="Times New Roman" w:eastAsia="方正仿宋简体" w:cs="Times New Roman"/>
          <w:bCs/>
          <w:color w:val="auto"/>
          <w:sz w:val="32"/>
          <w:szCs w:val="32"/>
        </w:rPr>
        <w:t>2019年12月31日以前已设探矿权的，完成现阶段勘查工作后，按规定评审成果报告并汇交地质资料，及时注销探矿权，不得办理转让或探转采手续。对找矿成果好、符合矿产地认定标准的，纳入全省矿产地数据库统一管理。</w:t>
      </w:r>
    </w:p>
    <w:p>
      <w:pPr>
        <w:pStyle w:val="6"/>
        <w:spacing w:after="0" w:line="560" w:lineRule="exact"/>
        <w:ind w:firstLine="640" w:firstLineChars="200"/>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本意见自</w:t>
      </w:r>
      <w:r>
        <w:rPr>
          <w:rFonts w:hint="eastAsia" w:ascii="Times New Roman" w:hAnsi="Times New Roman" w:eastAsia="方正仿宋简体" w:cs="Times New Roman"/>
          <w:bCs/>
          <w:color w:val="auto"/>
          <w:sz w:val="32"/>
          <w:szCs w:val="32"/>
          <w:lang w:val="en-US" w:eastAsia="zh-CN"/>
        </w:rPr>
        <w:t xml:space="preserve">    </w:t>
      </w:r>
      <w:r>
        <w:rPr>
          <w:rFonts w:ascii="Times New Roman" w:hAnsi="Times New Roman" w:eastAsia="方正仿宋简体" w:cs="Times New Roman"/>
          <w:bCs/>
          <w:color w:val="auto"/>
          <w:sz w:val="32"/>
          <w:szCs w:val="32"/>
        </w:rPr>
        <w:t>年</w:t>
      </w:r>
      <w:r>
        <w:rPr>
          <w:rFonts w:hint="eastAsia" w:ascii="Times New Roman" w:hAnsi="Times New Roman" w:eastAsia="方正仿宋简体" w:cs="Times New Roman"/>
          <w:bCs/>
          <w:color w:val="auto"/>
          <w:sz w:val="32"/>
          <w:szCs w:val="32"/>
          <w:lang w:val="en-US" w:eastAsia="zh-CN"/>
        </w:rPr>
        <w:t xml:space="preserve">  </w:t>
      </w:r>
      <w:r>
        <w:rPr>
          <w:rFonts w:ascii="Times New Roman" w:hAnsi="Times New Roman" w:eastAsia="方正仿宋简体" w:cs="Times New Roman"/>
          <w:bCs/>
          <w:color w:val="auto"/>
          <w:sz w:val="32"/>
          <w:szCs w:val="32"/>
        </w:rPr>
        <w:t>月</w:t>
      </w:r>
      <w:r>
        <w:rPr>
          <w:rFonts w:hint="eastAsia" w:ascii="Times New Roman" w:hAnsi="Times New Roman" w:eastAsia="方正仿宋简体" w:cs="Times New Roman"/>
          <w:bCs/>
          <w:color w:val="auto"/>
          <w:sz w:val="32"/>
          <w:szCs w:val="32"/>
          <w:lang w:val="en-US" w:eastAsia="zh-CN"/>
        </w:rPr>
        <w:t xml:space="preserve">  </w:t>
      </w:r>
      <w:r>
        <w:rPr>
          <w:rFonts w:ascii="Times New Roman" w:hAnsi="Times New Roman" w:eastAsia="方正仿宋简体" w:cs="Times New Roman"/>
          <w:bCs/>
          <w:color w:val="auto"/>
          <w:sz w:val="32"/>
          <w:szCs w:val="32"/>
        </w:rPr>
        <w:t>日起施行，有效期至</w:t>
      </w:r>
      <w:r>
        <w:rPr>
          <w:rFonts w:hint="eastAsia" w:ascii="Times New Roman" w:hAnsi="Times New Roman" w:eastAsia="方正仿宋简体" w:cs="Times New Roman"/>
          <w:bCs/>
          <w:color w:val="auto"/>
          <w:sz w:val="32"/>
          <w:szCs w:val="32"/>
          <w:lang w:val="en-US" w:eastAsia="zh-CN"/>
        </w:rPr>
        <w:t xml:space="preserve">    </w:t>
      </w:r>
      <w:r>
        <w:rPr>
          <w:rFonts w:ascii="Times New Roman" w:hAnsi="Times New Roman" w:eastAsia="方正仿宋简体" w:cs="Times New Roman"/>
          <w:bCs/>
          <w:color w:val="auto"/>
          <w:sz w:val="32"/>
          <w:szCs w:val="32"/>
        </w:rPr>
        <w:t>年</w:t>
      </w:r>
      <w:r>
        <w:rPr>
          <w:rFonts w:hint="eastAsia" w:ascii="Times New Roman" w:hAnsi="Times New Roman" w:eastAsia="方正仿宋简体" w:cs="Times New Roman"/>
          <w:bCs/>
          <w:color w:val="auto"/>
          <w:sz w:val="32"/>
          <w:szCs w:val="32"/>
          <w:lang w:val="en-US" w:eastAsia="zh-CN"/>
        </w:rPr>
        <w:t xml:space="preserve">  </w:t>
      </w:r>
      <w:r>
        <w:rPr>
          <w:rFonts w:ascii="Times New Roman" w:hAnsi="Times New Roman" w:eastAsia="方正仿宋简体" w:cs="Times New Roman"/>
          <w:bCs/>
          <w:color w:val="auto"/>
          <w:sz w:val="32"/>
          <w:szCs w:val="32"/>
        </w:rPr>
        <w:t>月</w:t>
      </w:r>
      <w:r>
        <w:rPr>
          <w:rFonts w:hint="eastAsia" w:ascii="Times New Roman" w:hAnsi="Times New Roman" w:eastAsia="方正仿宋简体" w:cs="Times New Roman"/>
          <w:bCs/>
          <w:color w:val="auto"/>
          <w:sz w:val="32"/>
          <w:szCs w:val="32"/>
          <w:lang w:val="en-US" w:eastAsia="zh-CN"/>
        </w:rPr>
        <w:t xml:space="preserve">  </w:t>
      </w:r>
      <w:r>
        <w:rPr>
          <w:rFonts w:ascii="Times New Roman" w:hAnsi="Times New Roman" w:eastAsia="方正仿宋简体" w:cs="Times New Roman"/>
          <w:bCs/>
          <w:color w:val="auto"/>
          <w:sz w:val="32"/>
          <w:szCs w:val="32"/>
        </w:rPr>
        <w:t>日。</w:t>
      </w:r>
      <w:r>
        <w:rPr>
          <w:rFonts w:hint="eastAsia" w:ascii="Times New Roman" w:hAnsi="Times New Roman" w:eastAsia="方正仿宋简体" w:cs="Times New Roman"/>
          <w:bCs/>
          <w:color w:val="auto"/>
          <w:sz w:val="32"/>
          <w:szCs w:val="32"/>
          <w:lang w:eastAsia="zh-CN"/>
        </w:rPr>
        <w:t>本意见未明确事项严格执行国家、省矿产资源管理改革文件有关规定。</w:t>
      </w:r>
    </w:p>
    <w:p>
      <w:pPr>
        <w:pStyle w:val="6"/>
        <w:spacing w:after="0" w:line="560" w:lineRule="exact"/>
        <w:ind w:firstLine="640" w:firstLineChars="200"/>
        <w:rPr>
          <w:rFonts w:ascii="Times New Roman" w:hAnsi="Times New Roman" w:eastAsia="方正仿宋简体" w:cs="Times New Roman"/>
          <w:bCs/>
          <w:color w:val="auto"/>
          <w:sz w:val="32"/>
          <w:szCs w:val="32"/>
        </w:rPr>
      </w:pPr>
    </w:p>
    <w:p>
      <w:pPr>
        <w:pStyle w:val="6"/>
        <w:spacing w:after="0" w:line="560" w:lineRule="exact"/>
        <w:ind w:firstLine="640" w:firstLineChars="200"/>
        <w:rPr>
          <w:rFonts w:ascii="Times New Roman" w:hAnsi="Times New Roman" w:eastAsia="方正仿宋简体" w:cs="Times New Roman"/>
          <w:bCs/>
          <w:color w:val="auto"/>
          <w:sz w:val="32"/>
          <w:szCs w:val="32"/>
        </w:rPr>
      </w:pPr>
      <w:r>
        <w:rPr>
          <w:rFonts w:ascii="Times New Roman" w:hAnsi="Times New Roman" w:eastAsia="方正仿宋简体" w:cs="Times New Roman"/>
          <w:bCs/>
          <w:color w:val="auto"/>
          <w:sz w:val="32"/>
          <w:szCs w:val="32"/>
        </w:rPr>
        <w:t>附件：矿产资源出让登记权限一览表</w:t>
      </w:r>
    </w:p>
    <w:p>
      <w:pPr>
        <w:pStyle w:val="6"/>
        <w:spacing w:after="0" w:line="560" w:lineRule="exact"/>
        <w:ind w:firstLine="640" w:firstLineChars="200"/>
        <w:rPr>
          <w:rFonts w:ascii="Times New Roman" w:hAnsi="Times New Roman" w:eastAsia="方正仿宋简体" w:cs="Times New Roman"/>
          <w:bCs/>
          <w:color w:val="auto"/>
          <w:sz w:val="32"/>
          <w:szCs w:val="32"/>
        </w:rPr>
      </w:pPr>
    </w:p>
    <w:p>
      <w:pPr>
        <w:pStyle w:val="6"/>
        <w:spacing w:after="0" w:line="560" w:lineRule="exact"/>
        <w:ind w:firstLine="640" w:firstLineChars="200"/>
        <w:rPr>
          <w:rFonts w:ascii="Times New Roman" w:hAnsi="Times New Roman" w:eastAsia="方正仿宋简体" w:cs="Times New Roman"/>
          <w:bCs/>
          <w:color w:val="auto"/>
          <w:sz w:val="32"/>
          <w:szCs w:val="32"/>
        </w:rPr>
      </w:pPr>
    </w:p>
    <w:p>
      <w:pPr>
        <w:pStyle w:val="6"/>
        <w:spacing w:after="0" w:line="560" w:lineRule="exact"/>
        <w:ind w:firstLine="640" w:firstLineChars="200"/>
        <w:rPr>
          <w:rFonts w:ascii="Times New Roman" w:hAnsi="Times New Roman" w:eastAsia="方正仿宋简体" w:cs="Times New Roman"/>
          <w:bCs/>
          <w:color w:val="auto"/>
          <w:sz w:val="32"/>
          <w:szCs w:val="32"/>
        </w:rPr>
      </w:pPr>
    </w:p>
    <w:p>
      <w:pPr>
        <w:pStyle w:val="2"/>
        <w:rPr>
          <w:rFonts w:hint="eastAsia" w:ascii="方正楷体简体" w:hAnsi="方正楷体简体" w:eastAsia="方正楷体简体" w:cs="方正楷体简体"/>
          <w:color w:val="auto"/>
          <w:w w:val="95"/>
          <w:sz w:val="32"/>
          <w:szCs w:val="32"/>
          <w:lang w:eastAsia="zh-CN"/>
        </w:rPr>
      </w:pPr>
    </w:p>
    <w:p>
      <w:pPr>
        <w:rPr>
          <w:rFonts w:hint="eastAsia" w:ascii="方正楷体简体" w:hAnsi="方正楷体简体" w:eastAsia="方正楷体简体" w:cs="方正楷体简体"/>
          <w:color w:val="auto"/>
          <w:w w:val="95"/>
          <w:sz w:val="32"/>
          <w:szCs w:val="32"/>
          <w:lang w:eastAsia="zh-CN"/>
        </w:rPr>
      </w:pPr>
    </w:p>
    <w:p>
      <w:pPr>
        <w:pStyle w:val="2"/>
        <w:rPr>
          <w:rFonts w:hint="eastAsia" w:ascii="方正楷体简体" w:hAnsi="方正楷体简体" w:eastAsia="方正楷体简体" w:cs="方正楷体简体"/>
          <w:color w:val="auto"/>
          <w:w w:val="95"/>
          <w:sz w:val="32"/>
          <w:szCs w:val="32"/>
          <w:lang w:eastAsia="zh-CN"/>
        </w:rPr>
      </w:pPr>
    </w:p>
    <w:p>
      <w:pPr>
        <w:rPr>
          <w:rFonts w:hint="eastAsia" w:ascii="方正楷体简体" w:hAnsi="方正楷体简体" w:eastAsia="方正楷体简体" w:cs="方正楷体简体"/>
          <w:color w:val="auto"/>
          <w:w w:val="95"/>
          <w:sz w:val="32"/>
          <w:szCs w:val="32"/>
          <w:lang w:eastAsia="zh-CN"/>
        </w:rPr>
      </w:pPr>
    </w:p>
    <w:p>
      <w:pPr>
        <w:pStyle w:val="2"/>
        <w:rPr>
          <w:rFonts w:hint="eastAsia" w:ascii="方正楷体简体" w:hAnsi="方正楷体简体" w:eastAsia="方正楷体简体" w:cs="方正楷体简体"/>
          <w:color w:val="auto"/>
          <w:w w:val="95"/>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both"/>
        <w:textAlignment w:val="auto"/>
        <w:outlineLvl w:val="9"/>
        <w:rPr>
          <w:rFonts w:hint="eastAsia" w:ascii="方正楷体简体" w:hAnsi="方正楷体简体" w:eastAsia="方正楷体简体" w:cs="方正楷体简体"/>
          <w:color w:val="auto"/>
          <w:w w:val="95"/>
          <w:sz w:val="32"/>
          <w:szCs w:val="32"/>
          <w:lang w:eastAsia="zh-CN"/>
        </w:rPr>
      </w:pPr>
      <w:r>
        <w:rPr>
          <w:rFonts w:hint="eastAsia" w:ascii="方正楷体简体" w:hAnsi="方正楷体简体" w:eastAsia="方正楷体简体" w:cs="方正楷体简体"/>
          <w:color w:val="auto"/>
          <w:w w:val="95"/>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jc w:val="center"/>
        <w:textAlignment w:val="auto"/>
        <w:outlineLvl w:val="9"/>
        <w:rPr>
          <w:rFonts w:hint="default"/>
          <w:color w:val="auto"/>
        </w:rPr>
      </w:pPr>
      <w:r>
        <w:rPr>
          <w:rFonts w:hint="eastAsia" w:ascii="方正小标宋简体" w:hAnsi="方正小标宋简体" w:eastAsia="方正小标宋简体" w:cs="方正小标宋简体"/>
          <w:color w:val="auto"/>
          <w:w w:val="95"/>
          <w:sz w:val="44"/>
          <w:szCs w:val="44"/>
        </w:rPr>
        <w:t>矿产资源出让登记权限</w:t>
      </w:r>
      <w:r>
        <w:rPr>
          <w:rFonts w:hint="eastAsia" w:ascii="方正小标宋简体" w:hAnsi="方正小标宋简体" w:eastAsia="方正小标宋简体" w:cs="方正小标宋简体"/>
          <w:color w:val="auto"/>
          <w:w w:val="95"/>
          <w:sz w:val="44"/>
          <w:szCs w:val="44"/>
          <w:lang w:eastAsia="zh-CN"/>
        </w:rPr>
        <w:t>一</w:t>
      </w:r>
      <w:r>
        <w:rPr>
          <w:rFonts w:hint="eastAsia" w:ascii="方正小标宋简体" w:hAnsi="方正小标宋简体" w:eastAsia="方正小标宋简体" w:cs="方正小标宋简体"/>
          <w:color w:val="auto"/>
          <w:w w:val="95"/>
          <w:sz w:val="44"/>
          <w:szCs w:val="44"/>
        </w:rPr>
        <w:t>览表</w:t>
      </w:r>
    </w:p>
    <w:tbl>
      <w:tblPr>
        <w:tblStyle w:val="14"/>
        <w:tblW w:w="0" w:type="auto"/>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2"/>
        <w:gridCol w:w="7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12" w:type="dxa"/>
          </w:tcPr>
          <w:p>
            <w:pPr>
              <w:pStyle w:val="24"/>
              <w:keepNext w:val="0"/>
              <w:keepLines w:val="0"/>
              <w:pageBreakBefore w:val="0"/>
              <w:widowControl w:val="0"/>
              <w:kinsoku/>
              <w:wordWrap/>
              <w:overflowPunct/>
              <w:topLinePunct w:val="0"/>
              <w:autoSpaceDE/>
              <w:autoSpaceDN/>
              <w:bidi w:val="0"/>
              <w:adjustRightInd/>
              <w:snapToGrid/>
              <w:spacing w:line="380" w:lineRule="exact"/>
              <w:ind w:left="206"/>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发证级别</w:t>
            </w:r>
          </w:p>
        </w:tc>
        <w:tc>
          <w:tcPr>
            <w:tcW w:w="7622" w:type="dxa"/>
          </w:tcPr>
          <w:p>
            <w:pPr>
              <w:pStyle w:val="24"/>
              <w:keepNext w:val="0"/>
              <w:keepLines w:val="0"/>
              <w:pageBreakBefore w:val="0"/>
              <w:widowControl w:val="0"/>
              <w:kinsoku/>
              <w:wordWrap/>
              <w:overflowPunct/>
              <w:topLinePunct w:val="0"/>
              <w:autoSpaceDE/>
              <w:autoSpaceDN/>
              <w:bidi w:val="0"/>
              <w:adjustRightInd/>
              <w:snapToGrid/>
              <w:spacing w:line="380" w:lineRule="exact"/>
              <w:ind w:left="3599" w:right="3592"/>
              <w:jc w:val="center"/>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矿种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212" w:type="dxa"/>
          </w:tcPr>
          <w:p>
            <w:pPr>
              <w:pStyle w:val="24"/>
              <w:keepNext w:val="0"/>
              <w:keepLines w:val="0"/>
              <w:pageBreakBefore w:val="0"/>
              <w:widowControl w:val="0"/>
              <w:kinsoku/>
              <w:wordWrap/>
              <w:overflowPunct/>
              <w:topLinePunct w:val="0"/>
              <w:autoSpaceDE/>
              <w:autoSpaceDN/>
              <w:bidi w:val="0"/>
              <w:adjustRightInd/>
              <w:snapToGrid/>
              <w:spacing w:line="380" w:lineRule="exact"/>
              <w:ind w:left="506" w:right="198" w:hanging="300"/>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spacing w:val="-3"/>
                <w:sz w:val="20"/>
              </w:rPr>
              <w:t>自然资源</w:t>
            </w:r>
            <w:r>
              <w:rPr>
                <w:rFonts w:hint="eastAsia" w:ascii="方正仿宋简体" w:hAnsi="方正仿宋简体" w:eastAsia="方正仿宋简体" w:cs="方正仿宋简体"/>
                <w:color w:val="auto"/>
                <w:sz w:val="20"/>
              </w:rPr>
              <w:t>部</w:t>
            </w:r>
          </w:p>
        </w:tc>
        <w:tc>
          <w:tcPr>
            <w:tcW w:w="7622" w:type="dxa"/>
          </w:tcPr>
          <w:p>
            <w:pPr>
              <w:pStyle w:val="24"/>
              <w:keepNext w:val="0"/>
              <w:keepLines w:val="0"/>
              <w:pageBreakBefore w:val="0"/>
              <w:widowControl w:val="0"/>
              <w:kinsoku/>
              <w:wordWrap/>
              <w:overflowPunct/>
              <w:topLinePunct w:val="0"/>
              <w:autoSpaceDE/>
              <w:autoSpaceDN/>
              <w:bidi w:val="0"/>
              <w:adjustRightInd/>
              <w:snapToGrid/>
              <w:spacing w:line="380" w:lineRule="exact"/>
              <w:ind w:left="107" w:right="256"/>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14种重要战略性矿产：石油、烃类天然气、页岩气、天然气水合物、放射性矿产、</w:t>
            </w:r>
            <w:r>
              <w:rPr>
                <w:rFonts w:hint="eastAsia" w:ascii="方正仿宋简体" w:hAnsi="方正仿宋简体" w:eastAsia="方正仿宋简体" w:cs="方正仿宋简体"/>
                <w:color w:val="auto"/>
                <w:sz w:val="20"/>
              </w:rPr>
              <w:t xml:space="preserve">钨、稀土、锡、锑、钼、钴、锂、钾盐、晶质石墨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1212" w:type="dxa"/>
            <w:vMerge w:val="restart"/>
          </w:tcPr>
          <w:p>
            <w:pPr>
              <w:pStyle w:val="24"/>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0"/>
              </w:rPr>
            </w:pPr>
          </w:p>
          <w:p>
            <w:pPr>
              <w:pStyle w:val="24"/>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0"/>
              </w:rPr>
            </w:pPr>
          </w:p>
          <w:p>
            <w:pPr>
              <w:pStyle w:val="24"/>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1"/>
              </w:rPr>
            </w:pPr>
          </w:p>
          <w:p>
            <w:pPr>
              <w:pStyle w:val="24"/>
              <w:keepNext w:val="0"/>
              <w:keepLines w:val="0"/>
              <w:pageBreakBefore w:val="0"/>
              <w:widowControl w:val="0"/>
              <w:kinsoku/>
              <w:wordWrap/>
              <w:overflowPunct/>
              <w:topLinePunct w:val="0"/>
              <w:autoSpaceDE/>
              <w:autoSpaceDN/>
              <w:bidi w:val="0"/>
              <w:adjustRightInd/>
              <w:snapToGrid/>
              <w:spacing w:line="380" w:lineRule="exact"/>
              <w:ind w:left="405" w:right="198" w:hanging="200"/>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spacing w:val="-2"/>
                <w:sz w:val="20"/>
              </w:rPr>
              <w:t>省自然资</w:t>
            </w:r>
            <w:r>
              <w:rPr>
                <w:rFonts w:hint="eastAsia" w:ascii="方正仿宋简体" w:hAnsi="方正仿宋简体" w:eastAsia="方正仿宋简体" w:cs="方正仿宋简体"/>
                <w:color w:val="auto"/>
                <w:sz w:val="20"/>
              </w:rPr>
              <w:t>源厅</w:t>
            </w:r>
          </w:p>
        </w:tc>
        <w:tc>
          <w:tcPr>
            <w:tcW w:w="7622" w:type="dxa"/>
            <w:tcBorders>
              <w:bottom w:val="nil"/>
            </w:tcBorders>
          </w:tcPr>
          <w:p>
            <w:pPr>
              <w:pStyle w:val="24"/>
              <w:keepNext w:val="0"/>
              <w:keepLines w:val="0"/>
              <w:pageBreakBefore w:val="0"/>
              <w:widowControl w:val="0"/>
              <w:kinsoku/>
              <w:wordWrap/>
              <w:overflowPunct/>
              <w:topLinePunct w:val="0"/>
              <w:autoSpaceDE/>
              <w:autoSpaceDN/>
              <w:bidi w:val="0"/>
              <w:adjustRightInd/>
              <w:snapToGrid/>
              <w:spacing w:line="380" w:lineRule="exact"/>
              <w:ind w:left="107" w:right="306"/>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其他战略性矿产：煤、煤层气、铁、锰、铬铁矿、铜、铝土矿、金、镍、锆、铪、</w:t>
            </w:r>
            <w:r>
              <w:rPr>
                <w:rFonts w:hint="eastAsia" w:ascii="方正仿宋简体" w:hAnsi="方正仿宋简体" w:eastAsia="方正仿宋简体" w:cs="方正仿宋简体"/>
                <w:color w:val="auto"/>
                <w:spacing w:val="65"/>
                <w:w w:val="95"/>
                <w:sz w:val="20"/>
              </w:rPr>
              <w:t xml:space="preserve"> </w:t>
            </w:r>
            <w:r>
              <w:rPr>
                <w:rFonts w:hint="eastAsia" w:ascii="方正仿宋简体" w:hAnsi="方正仿宋简体" w:eastAsia="方正仿宋简体" w:cs="方正仿宋简体"/>
                <w:color w:val="auto"/>
                <w:sz w:val="20"/>
              </w:rPr>
              <w:t xml:space="preserve">铌、钽、铍、铼、硼、钒、钛、铟、镓、磷、萤石等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212"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
                <w:szCs w:val="2"/>
              </w:rPr>
            </w:pPr>
          </w:p>
        </w:tc>
        <w:tc>
          <w:tcPr>
            <w:tcW w:w="7622" w:type="dxa"/>
            <w:tcBorders>
              <w:top w:val="nil"/>
              <w:bottom w:val="nil"/>
            </w:tcBorders>
          </w:tcPr>
          <w:p>
            <w:pPr>
              <w:pStyle w:val="24"/>
              <w:keepNext w:val="0"/>
              <w:keepLines w:val="0"/>
              <w:pageBreakBefore w:val="0"/>
              <w:widowControl w:val="0"/>
              <w:kinsoku/>
              <w:wordWrap/>
              <w:overflowPunct/>
              <w:topLinePunct w:val="0"/>
              <w:autoSpaceDE/>
              <w:autoSpaceDN/>
              <w:bidi w:val="0"/>
              <w:adjustRightInd/>
              <w:snapToGrid/>
              <w:spacing w:line="380" w:lineRule="exact"/>
              <w:ind w:left="107"/>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 xml:space="preserve">金属矿产：银、铅、锌等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12"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
                <w:szCs w:val="2"/>
              </w:rPr>
            </w:pPr>
          </w:p>
        </w:tc>
        <w:tc>
          <w:tcPr>
            <w:tcW w:w="7622" w:type="dxa"/>
            <w:tcBorders>
              <w:top w:val="nil"/>
              <w:bottom w:val="nil"/>
            </w:tcBorders>
          </w:tcPr>
          <w:p>
            <w:pPr>
              <w:pStyle w:val="24"/>
              <w:keepNext w:val="0"/>
              <w:keepLines w:val="0"/>
              <w:pageBreakBefore w:val="0"/>
              <w:widowControl w:val="0"/>
              <w:kinsoku/>
              <w:wordWrap/>
              <w:overflowPunct/>
              <w:topLinePunct w:val="0"/>
              <w:autoSpaceDE/>
              <w:autoSpaceDN/>
              <w:bidi w:val="0"/>
              <w:adjustRightInd/>
              <w:snapToGrid/>
              <w:spacing w:line="380" w:lineRule="exact"/>
              <w:ind w:left="107"/>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 xml:space="preserve">能源矿产：油页岩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12"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
                <w:szCs w:val="2"/>
              </w:rPr>
            </w:pPr>
          </w:p>
        </w:tc>
        <w:tc>
          <w:tcPr>
            <w:tcW w:w="7622" w:type="dxa"/>
            <w:tcBorders>
              <w:top w:val="nil"/>
              <w:bottom w:val="nil"/>
            </w:tcBorders>
          </w:tcPr>
          <w:p>
            <w:pPr>
              <w:pStyle w:val="24"/>
              <w:keepNext w:val="0"/>
              <w:keepLines w:val="0"/>
              <w:pageBreakBefore w:val="0"/>
              <w:widowControl w:val="0"/>
              <w:kinsoku/>
              <w:wordWrap/>
              <w:overflowPunct/>
              <w:topLinePunct w:val="0"/>
              <w:autoSpaceDE/>
              <w:autoSpaceDN/>
              <w:bidi w:val="0"/>
              <w:adjustRightInd/>
              <w:snapToGrid/>
              <w:spacing w:line="380" w:lineRule="exact"/>
              <w:ind w:left="107"/>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 xml:space="preserve">非金属矿产：金刚石、海砂、硒、碲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212"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
                <w:szCs w:val="2"/>
              </w:rPr>
            </w:pPr>
          </w:p>
        </w:tc>
        <w:tc>
          <w:tcPr>
            <w:tcW w:w="7622" w:type="dxa"/>
            <w:tcBorders>
              <w:top w:val="nil"/>
            </w:tcBorders>
          </w:tcPr>
          <w:p>
            <w:pPr>
              <w:pStyle w:val="24"/>
              <w:keepNext w:val="0"/>
              <w:keepLines w:val="0"/>
              <w:pageBreakBefore w:val="0"/>
              <w:widowControl w:val="0"/>
              <w:kinsoku/>
              <w:wordWrap/>
              <w:overflowPunct/>
              <w:topLinePunct w:val="0"/>
              <w:autoSpaceDE/>
              <w:autoSpaceDN/>
              <w:bidi w:val="0"/>
              <w:adjustRightInd/>
              <w:snapToGrid/>
              <w:spacing w:line="380" w:lineRule="exact"/>
              <w:ind w:left="107"/>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 xml:space="preserve">水气矿产：二氧化碳气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12" w:type="dxa"/>
            <w:vMerge w:val="restart"/>
          </w:tcPr>
          <w:p>
            <w:pPr>
              <w:pStyle w:val="24"/>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0"/>
              </w:rPr>
            </w:pPr>
          </w:p>
          <w:p>
            <w:pPr>
              <w:pStyle w:val="24"/>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0"/>
              </w:rPr>
            </w:pPr>
          </w:p>
          <w:p>
            <w:pPr>
              <w:pStyle w:val="24"/>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0"/>
              </w:rPr>
            </w:pPr>
          </w:p>
          <w:p>
            <w:pPr>
              <w:pStyle w:val="24"/>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0"/>
              </w:rPr>
            </w:pPr>
          </w:p>
          <w:p>
            <w:pPr>
              <w:pStyle w:val="24"/>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19"/>
              </w:rPr>
            </w:pPr>
          </w:p>
          <w:p>
            <w:pPr>
              <w:pStyle w:val="24"/>
              <w:keepNext w:val="0"/>
              <w:keepLines w:val="0"/>
              <w:pageBreakBefore w:val="0"/>
              <w:widowControl w:val="0"/>
              <w:kinsoku/>
              <w:wordWrap/>
              <w:overflowPunct/>
              <w:topLinePunct w:val="0"/>
              <w:autoSpaceDE/>
              <w:autoSpaceDN/>
              <w:bidi w:val="0"/>
              <w:adjustRightInd/>
              <w:snapToGrid/>
              <w:spacing w:line="380" w:lineRule="exact"/>
              <w:ind w:left="206" w:right="198"/>
              <w:jc w:val="both"/>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spacing w:val="-3"/>
                <w:sz w:val="20"/>
              </w:rPr>
              <w:t>设区的市自然资源主管部门</w:t>
            </w:r>
          </w:p>
        </w:tc>
        <w:tc>
          <w:tcPr>
            <w:tcW w:w="7622" w:type="dxa"/>
            <w:tcBorders>
              <w:bottom w:val="nil"/>
            </w:tcBorders>
          </w:tcPr>
          <w:p>
            <w:pPr>
              <w:pStyle w:val="24"/>
              <w:keepNext w:val="0"/>
              <w:keepLines w:val="0"/>
              <w:pageBreakBefore w:val="0"/>
              <w:widowControl w:val="0"/>
              <w:kinsoku/>
              <w:wordWrap/>
              <w:overflowPunct/>
              <w:topLinePunct w:val="0"/>
              <w:autoSpaceDE/>
              <w:autoSpaceDN/>
              <w:bidi w:val="0"/>
              <w:adjustRightInd/>
              <w:snapToGrid/>
              <w:spacing w:line="380" w:lineRule="exact"/>
              <w:ind w:left="107"/>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 xml:space="preserve">能源矿产：地热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212"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
                <w:szCs w:val="2"/>
              </w:rPr>
            </w:pPr>
          </w:p>
        </w:tc>
        <w:tc>
          <w:tcPr>
            <w:tcW w:w="7622" w:type="dxa"/>
            <w:tcBorders>
              <w:top w:val="nil"/>
              <w:bottom w:val="nil"/>
            </w:tcBorders>
          </w:tcPr>
          <w:p>
            <w:pPr>
              <w:pStyle w:val="24"/>
              <w:keepNext w:val="0"/>
              <w:keepLines w:val="0"/>
              <w:pageBreakBefore w:val="0"/>
              <w:widowControl w:val="0"/>
              <w:kinsoku/>
              <w:wordWrap/>
              <w:overflowPunct/>
              <w:topLinePunct w:val="0"/>
              <w:autoSpaceDE/>
              <w:autoSpaceDN/>
              <w:bidi w:val="0"/>
              <w:adjustRightInd/>
              <w:snapToGrid/>
              <w:spacing w:line="380" w:lineRule="exact"/>
              <w:ind w:left="107"/>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 xml:space="preserve">水气矿产：矿泉水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6" w:hRule="atLeast"/>
        </w:trPr>
        <w:tc>
          <w:tcPr>
            <w:tcW w:w="1212"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color w:val="auto"/>
                <w:sz w:val="2"/>
                <w:szCs w:val="2"/>
              </w:rPr>
            </w:pPr>
          </w:p>
        </w:tc>
        <w:tc>
          <w:tcPr>
            <w:tcW w:w="7622" w:type="dxa"/>
            <w:tcBorders>
              <w:top w:val="nil"/>
            </w:tcBorders>
          </w:tcPr>
          <w:p>
            <w:pPr>
              <w:pStyle w:val="24"/>
              <w:keepNext w:val="0"/>
              <w:keepLines w:val="0"/>
              <w:pageBreakBefore w:val="0"/>
              <w:widowControl w:val="0"/>
              <w:kinsoku/>
              <w:wordWrap/>
              <w:overflowPunct/>
              <w:topLinePunct w:val="0"/>
              <w:autoSpaceDE/>
              <w:autoSpaceDN/>
              <w:bidi w:val="0"/>
              <w:adjustRightInd/>
              <w:snapToGrid/>
              <w:spacing w:line="380" w:lineRule="exact"/>
              <w:ind w:left="107"/>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非金属矿产：自然硫、硫铁矿、盐矿（岩盐）、盐矿（天然卤水）、溴（天然卤</w:t>
            </w:r>
          </w:p>
          <w:p>
            <w:pPr>
              <w:pStyle w:val="24"/>
              <w:keepNext w:val="0"/>
              <w:keepLines w:val="0"/>
              <w:pageBreakBefore w:val="0"/>
              <w:widowControl w:val="0"/>
              <w:kinsoku/>
              <w:wordWrap/>
              <w:overflowPunct/>
              <w:topLinePunct w:val="0"/>
              <w:autoSpaceDE/>
              <w:autoSpaceDN/>
              <w:bidi w:val="0"/>
              <w:adjustRightInd/>
              <w:snapToGrid/>
              <w:spacing w:line="380" w:lineRule="exact"/>
              <w:ind w:left="107" w:right="105"/>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w w:val="95"/>
                <w:sz w:val="20"/>
              </w:rPr>
              <w:t>水）、刚玉、石榴子石、蓝晶石、红柱石、电气石、透辉石、透闪石、滑石、石棉、</w:t>
            </w:r>
            <w:r>
              <w:rPr>
                <w:rFonts w:hint="eastAsia" w:ascii="方正仿宋简体" w:hAnsi="方正仿宋简体" w:eastAsia="方正仿宋简体" w:cs="方正仿宋简体"/>
                <w:color w:val="auto"/>
                <w:spacing w:val="86"/>
                <w:w w:val="95"/>
                <w:sz w:val="20"/>
              </w:rPr>
              <w:t xml:space="preserve"> </w:t>
            </w:r>
            <w:r>
              <w:rPr>
                <w:rFonts w:hint="eastAsia" w:ascii="方正仿宋简体" w:hAnsi="方正仿宋简体" w:eastAsia="方正仿宋简体" w:cs="方正仿宋简体"/>
                <w:color w:val="auto"/>
                <w:w w:val="95"/>
                <w:sz w:val="20"/>
              </w:rPr>
              <w:t>蓝石棉、云母、长石、沸石、重晶石、石膏含硬石膏）、明矾石、方解石、菱镁矿；</w:t>
            </w:r>
            <w:r>
              <w:rPr>
                <w:rFonts w:hint="eastAsia" w:ascii="方正仿宋简体" w:hAnsi="方正仿宋简体" w:eastAsia="方正仿宋简体" w:cs="方正仿宋简体"/>
                <w:color w:val="auto"/>
                <w:spacing w:val="76"/>
                <w:w w:val="95"/>
                <w:sz w:val="20"/>
              </w:rPr>
              <w:t xml:space="preserve"> </w:t>
            </w:r>
            <w:r>
              <w:rPr>
                <w:rFonts w:hint="eastAsia" w:ascii="方正仿宋简体" w:hAnsi="方正仿宋简体" w:eastAsia="方正仿宋简体" w:cs="方正仿宋简体"/>
                <w:color w:val="auto"/>
                <w:sz w:val="20"/>
              </w:rPr>
              <w:t xml:space="preserve">宝石（蓝宝石、红宝石）、玉石（含泰山玉）；麦饭石、硅藻土、陶瓷土、耐火粘土、膨润土、高岭土；石灰岩（制碱用灰岩、水泥用灰岩、制灰用灰岩、饰面用灰 </w:t>
            </w:r>
            <w:r>
              <w:rPr>
                <w:rFonts w:hint="eastAsia" w:ascii="方正仿宋简体" w:hAnsi="方正仿宋简体" w:eastAsia="方正仿宋简体" w:cs="方正仿宋简体"/>
                <w:color w:val="auto"/>
                <w:w w:val="95"/>
                <w:sz w:val="20"/>
              </w:rPr>
              <w:t>岩、熔剂用灰岩）、白云岩（冶金用白云岩、玻璃用白云岩）</w:t>
            </w:r>
            <w:r>
              <w:rPr>
                <w:rFonts w:hint="eastAsia" w:ascii="方正仿宋简体" w:hAnsi="方正仿宋简体" w:eastAsia="方正仿宋简体" w:cs="方正仿宋简体"/>
                <w:color w:val="auto"/>
                <w:spacing w:val="6"/>
                <w:w w:val="95"/>
                <w:sz w:val="20"/>
              </w:rPr>
              <w:t>、玻璃用石英岩、冶金 用</w:t>
            </w:r>
            <w:r>
              <w:rPr>
                <w:rFonts w:hint="eastAsia" w:ascii="方正仿宋简体" w:hAnsi="方正仿宋简体" w:eastAsia="方正仿宋简体" w:cs="方正仿宋简体"/>
                <w:color w:val="auto"/>
                <w:w w:val="95"/>
                <w:sz w:val="20"/>
              </w:rPr>
              <w:t>脉石英、砂岩（玻璃用砂岩、水泥配料用砂岩、陶瓷用砂岩）</w:t>
            </w:r>
            <w:r>
              <w:rPr>
                <w:rFonts w:hint="eastAsia" w:ascii="方正仿宋简体" w:hAnsi="方正仿宋简体" w:eastAsia="方正仿宋简体" w:cs="方正仿宋简体"/>
                <w:color w:val="auto"/>
                <w:spacing w:val="7"/>
                <w:w w:val="95"/>
                <w:sz w:val="20"/>
              </w:rPr>
              <w:t>、含钾砂页岩、陶粒 页</w:t>
            </w:r>
            <w:r>
              <w:rPr>
                <w:rFonts w:hint="eastAsia" w:ascii="方正仿宋简体" w:hAnsi="方正仿宋简体" w:eastAsia="方正仿宋简体" w:cs="方正仿宋简体"/>
                <w:color w:val="auto"/>
                <w:w w:val="95"/>
                <w:sz w:val="20"/>
              </w:rPr>
              <w:t>岩、水泥配料用泥岩、蛇纹岩（化肥用蛇纹岩、饰面用蛇纹岩）</w:t>
            </w:r>
            <w:r>
              <w:rPr>
                <w:rFonts w:hint="eastAsia" w:ascii="方正仿宋简体" w:hAnsi="方正仿宋简体" w:eastAsia="方正仿宋简体" w:cs="方正仿宋简体"/>
                <w:color w:val="auto"/>
                <w:spacing w:val="8"/>
                <w:w w:val="95"/>
                <w:sz w:val="20"/>
              </w:rPr>
              <w:t>、饰面用花岗岩、 水</w:t>
            </w:r>
            <w:r>
              <w:rPr>
                <w:rFonts w:hint="eastAsia" w:ascii="方正仿宋简体" w:hAnsi="方正仿宋简体" w:eastAsia="方正仿宋简体" w:cs="方正仿宋简体"/>
                <w:color w:val="auto"/>
                <w:w w:val="95"/>
                <w:sz w:val="20"/>
              </w:rPr>
              <w:t>泥用大理岩、珍珠岩、辉长岩、辉绿岩（</w:t>
            </w:r>
            <w:r>
              <w:rPr>
                <w:rFonts w:hint="eastAsia" w:ascii="方正仿宋简体" w:hAnsi="方正仿宋简体" w:eastAsia="方正仿宋简体" w:cs="方正仿宋简体"/>
                <w:color w:val="auto"/>
                <w:spacing w:val="3"/>
                <w:w w:val="95"/>
                <w:sz w:val="20"/>
              </w:rPr>
              <w:t xml:space="preserve">水泥用辉绿岩、铸石用辉绿岩、饰面用辉 </w:t>
            </w:r>
            <w:r>
              <w:rPr>
                <w:rFonts w:hint="eastAsia" w:ascii="方正仿宋简体" w:hAnsi="方正仿宋简体" w:eastAsia="方正仿宋简体" w:cs="方正仿宋简体"/>
                <w:color w:val="auto"/>
                <w:sz w:val="20"/>
              </w:rPr>
              <w:t xml:space="preserve">绿岩）、榴辉岩、千枚岩等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212" w:type="dxa"/>
          </w:tcPr>
          <w:p>
            <w:pPr>
              <w:pStyle w:val="24"/>
              <w:keepNext w:val="0"/>
              <w:keepLines w:val="0"/>
              <w:pageBreakBefore w:val="0"/>
              <w:widowControl w:val="0"/>
              <w:kinsoku/>
              <w:wordWrap/>
              <w:overflowPunct/>
              <w:topLinePunct w:val="0"/>
              <w:autoSpaceDE/>
              <w:autoSpaceDN/>
              <w:bidi w:val="0"/>
              <w:adjustRightInd/>
              <w:snapToGrid/>
              <w:spacing w:line="380" w:lineRule="exact"/>
              <w:ind w:left="107" w:right="295"/>
              <w:jc w:val="center"/>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spacing w:val="-2"/>
                <w:sz w:val="20"/>
              </w:rPr>
              <w:t>县（市、区）自然资源主管</w:t>
            </w:r>
            <w:r>
              <w:rPr>
                <w:rFonts w:hint="eastAsia" w:ascii="方正仿宋简体" w:hAnsi="方正仿宋简体" w:eastAsia="方正仿宋简体" w:cs="方正仿宋简体"/>
                <w:color w:val="auto"/>
                <w:sz w:val="20"/>
              </w:rPr>
              <w:t>部门</w:t>
            </w:r>
          </w:p>
        </w:tc>
        <w:tc>
          <w:tcPr>
            <w:tcW w:w="7622" w:type="dxa"/>
          </w:tcPr>
          <w:p>
            <w:pPr>
              <w:pStyle w:val="24"/>
              <w:keepNext w:val="0"/>
              <w:keepLines w:val="0"/>
              <w:pageBreakBefore w:val="0"/>
              <w:widowControl w:val="0"/>
              <w:kinsoku/>
              <w:wordWrap/>
              <w:overflowPunct/>
              <w:topLinePunct w:val="0"/>
              <w:autoSpaceDE/>
              <w:autoSpaceDN/>
              <w:bidi w:val="0"/>
              <w:adjustRightInd/>
              <w:snapToGrid/>
              <w:spacing w:line="380" w:lineRule="exact"/>
              <w:ind w:left="107" w:right="105"/>
              <w:textAlignment w:val="auto"/>
              <w:rPr>
                <w:rFonts w:hint="eastAsia" w:ascii="方正仿宋简体" w:hAnsi="方正仿宋简体" w:eastAsia="方正仿宋简体" w:cs="方正仿宋简体"/>
                <w:color w:val="auto"/>
                <w:sz w:val="20"/>
              </w:rPr>
            </w:pPr>
            <w:r>
              <w:rPr>
                <w:rFonts w:hint="eastAsia" w:ascii="方正仿宋简体" w:hAnsi="方正仿宋简体" w:eastAsia="方正仿宋简体" w:cs="方正仿宋简体"/>
                <w:color w:val="auto"/>
                <w:sz w:val="20"/>
              </w:rPr>
              <w:t xml:space="preserve">普通建筑用砂石土矿产（采矿权）：建筑石料用灰岩、建筑用白云岩、建筑用石英岩、建筑用砂岩、建筑用砂（卵石、碎石）、砖瓦用页岩、建筑用页岩、砖瓦用粘 </w:t>
            </w:r>
            <w:r>
              <w:rPr>
                <w:rFonts w:hint="eastAsia" w:ascii="方正仿宋简体" w:hAnsi="方正仿宋简体" w:eastAsia="方正仿宋简体" w:cs="方正仿宋简体"/>
                <w:color w:val="auto"/>
                <w:w w:val="95"/>
                <w:sz w:val="20"/>
              </w:rPr>
              <w:t>土</w:t>
            </w:r>
            <w:r>
              <w:rPr>
                <w:rFonts w:hint="eastAsia" w:ascii="方正仿宋简体" w:hAnsi="方正仿宋简体" w:eastAsia="方正仿宋简体" w:cs="方正仿宋简体"/>
                <w:color w:val="auto"/>
                <w:spacing w:val="2"/>
                <w:w w:val="95"/>
                <w:sz w:val="20"/>
              </w:rPr>
              <w:t xml:space="preserve">、建筑用玄武岩、建筑用安山岩、建筑用闪长岩、建筑用花岗岩、建筑用凝灰岩、 </w:t>
            </w:r>
            <w:r>
              <w:rPr>
                <w:rFonts w:hint="eastAsia" w:ascii="方正仿宋简体" w:hAnsi="方正仿宋简体" w:eastAsia="方正仿宋简体" w:cs="方正仿宋简体"/>
                <w:color w:val="auto"/>
                <w:sz w:val="20"/>
              </w:rPr>
              <w:t xml:space="preserve">建筑用大理岩、建筑用辉绿岩等 </w:t>
            </w:r>
          </w:p>
        </w:tc>
      </w:tr>
    </w:tbl>
    <w:p>
      <w:pPr>
        <w:pStyle w:val="6"/>
        <w:spacing w:after="0" w:line="560" w:lineRule="exact"/>
        <w:rPr>
          <w:rFonts w:ascii="Times New Roman" w:hAnsi="Times New Roman" w:eastAsia="方正仿宋简体" w:cs="Times New Roman"/>
          <w:bCs/>
          <w:color w:val="auto"/>
          <w:sz w:val="32"/>
          <w:szCs w:val="32"/>
        </w:rPr>
      </w:pPr>
    </w:p>
    <w:sectPr>
      <w:footerReference r:id="rId3" w:type="default"/>
      <w:footerReference r:id="rId4" w:type="even"/>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left" w:pos="5628"/>
        <w:tab w:val="left" w:pos="8080"/>
        <w:tab w:val="right" w:pos="8306"/>
      </w:tabs>
      <w:wordWrap w:val="0"/>
      <w:snapToGrid w:val="0"/>
      <w:jc w:val="right"/>
    </w:pPr>
    <w:r>
      <w:rPr>
        <w:rFonts w:hint="eastAsia" w:ascii="宋体" w:hAnsi="宋体" w:eastAsia="宋体" w:cs="宋体"/>
        <w:kern w:val="0"/>
        <w:sz w:val="28"/>
        <w:szCs w:val="28"/>
      </w:rPr>
      <w:t xml:space="preserve">—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PAGE   \* MERGEFORMAT </w:instrText>
    </w:r>
    <w:r>
      <w:rPr>
        <w:rFonts w:hint="eastAsia" w:ascii="宋体" w:hAnsi="宋体" w:eastAsia="宋体" w:cs="宋体"/>
        <w:kern w:val="0"/>
        <w:sz w:val="28"/>
        <w:szCs w:val="28"/>
      </w:rPr>
      <w:fldChar w:fldCharType="separate"/>
    </w:r>
    <w:r>
      <w:rPr>
        <w:rFonts w:ascii="宋体" w:hAnsi="宋体" w:eastAsia="宋体" w:cs="宋体"/>
        <w:kern w:val="0"/>
        <w:sz w:val="28"/>
        <w:szCs w:val="28"/>
      </w:rPr>
      <w:t>5</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left" w:pos="5628"/>
        <w:tab w:val="left" w:pos="8080"/>
        <w:tab w:val="right" w:pos="8306"/>
      </w:tabs>
      <w:snapToGrid w:val="0"/>
      <w:jc w:val="left"/>
    </w:pPr>
    <w:r>
      <w:rPr>
        <w:rFonts w:hint="eastAsia" w:ascii="宋体" w:hAnsi="宋体" w:eastAsia="宋体" w:cs="宋体"/>
        <w:kern w:val="0"/>
        <w:sz w:val="28"/>
        <w:szCs w:val="28"/>
      </w:rPr>
      <w:t xml:space="preserve">　— </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PAGE   \* MERGEFORMAT </w:instrText>
    </w:r>
    <w:r>
      <w:rPr>
        <w:rFonts w:hint="eastAsia" w:ascii="宋体" w:hAnsi="宋体" w:eastAsia="宋体" w:cs="宋体"/>
        <w:kern w:val="0"/>
        <w:sz w:val="28"/>
        <w:szCs w:val="28"/>
      </w:rPr>
      <w:fldChar w:fldCharType="separate"/>
    </w:r>
    <w:r>
      <w:rPr>
        <w:rFonts w:ascii="宋体" w:hAnsi="宋体" w:eastAsia="宋体" w:cs="宋体"/>
        <w:kern w:val="0"/>
        <w:sz w:val="28"/>
        <w:szCs w:val="28"/>
      </w:rPr>
      <w:t>4</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ZTdhYzhlZmYzM2JmMmI5OTRmM2Q4MDM0NDNiODEifQ=="/>
  </w:docVars>
  <w:rsids>
    <w:rsidRoot w:val="00412521"/>
    <w:rsid w:val="0000407B"/>
    <w:rsid w:val="000056CF"/>
    <w:rsid w:val="00007AD6"/>
    <w:rsid w:val="00016669"/>
    <w:rsid w:val="00027F81"/>
    <w:rsid w:val="00034CC4"/>
    <w:rsid w:val="00041B19"/>
    <w:rsid w:val="0004323E"/>
    <w:rsid w:val="00044CBC"/>
    <w:rsid w:val="00047ED7"/>
    <w:rsid w:val="00050748"/>
    <w:rsid w:val="0006217C"/>
    <w:rsid w:val="00064C58"/>
    <w:rsid w:val="00081BC7"/>
    <w:rsid w:val="000A0494"/>
    <w:rsid w:val="000A55A6"/>
    <w:rsid w:val="00101BBC"/>
    <w:rsid w:val="00107F39"/>
    <w:rsid w:val="00164EDA"/>
    <w:rsid w:val="00164F47"/>
    <w:rsid w:val="00190D51"/>
    <w:rsid w:val="001B3ACD"/>
    <w:rsid w:val="001C5559"/>
    <w:rsid w:val="001F4426"/>
    <w:rsid w:val="00214740"/>
    <w:rsid w:val="00223BA2"/>
    <w:rsid w:val="002261BA"/>
    <w:rsid w:val="0024181C"/>
    <w:rsid w:val="00243558"/>
    <w:rsid w:val="00256B23"/>
    <w:rsid w:val="002636F9"/>
    <w:rsid w:val="002723FF"/>
    <w:rsid w:val="0027655E"/>
    <w:rsid w:val="002913CC"/>
    <w:rsid w:val="002A6230"/>
    <w:rsid w:val="002B1A86"/>
    <w:rsid w:val="002D0A81"/>
    <w:rsid w:val="002D0D47"/>
    <w:rsid w:val="00304ACE"/>
    <w:rsid w:val="00320804"/>
    <w:rsid w:val="0032304E"/>
    <w:rsid w:val="00336845"/>
    <w:rsid w:val="00344997"/>
    <w:rsid w:val="00351D54"/>
    <w:rsid w:val="003520D5"/>
    <w:rsid w:val="00396B41"/>
    <w:rsid w:val="003A379B"/>
    <w:rsid w:val="003C1D1C"/>
    <w:rsid w:val="003E5343"/>
    <w:rsid w:val="0040597A"/>
    <w:rsid w:val="00412521"/>
    <w:rsid w:val="00435E1A"/>
    <w:rsid w:val="00445CEF"/>
    <w:rsid w:val="004478B3"/>
    <w:rsid w:val="00450159"/>
    <w:rsid w:val="00483188"/>
    <w:rsid w:val="00484BA3"/>
    <w:rsid w:val="0049779A"/>
    <w:rsid w:val="004A6A59"/>
    <w:rsid w:val="004C1EC2"/>
    <w:rsid w:val="004C42E0"/>
    <w:rsid w:val="004D1E08"/>
    <w:rsid w:val="004D42E8"/>
    <w:rsid w:val="004F6E60"/>
    <w:rsid w:val="004F787E"/>
    <w:rsid w:val="00506027"/>
    <w:rsid w:val="005262AC"/>
    <w:rsid w:val="00544AAF"/>
    <w:rsid w:val="00570675"/>
    <w:rsid w:val="00573AC5"/>
    <w:rsid w:val="00575FEF"/>
    <w:rsid w:val="00593903"/>
    <w:rsid w:val="005943F5"/>
    <w:rsid w:val="00597899"/>
    <w:rsid w:val="005B71B7"/>
    <w:rsid w:val="005C2B38"/>
    <w:rsid w:val="005E5A28"/>
    <w:rsid w:val="005F6B10"/>
    <w:rsid w:val="00601078"/>
    <w:rsid w:val="00617B7C"/>
    <w:rsid w:val="006421BD"/>
    <w:rsid w:val="00651174"/>
    <w:rsid w:val="00654E1B"/>
    <w:rsid w:val="00673E74"/>
    <w:rsid w:val="006906FF"/>
    <w:rsid w:val="00691402"/>
    <w:rsid w:val="006B3F3C"/>
    <w:rsid w:val="006B7BD9"/>
    <w:rsid w:val="006D6047"/>
    <w:rsid w:val="006E2851"/>
    <w:rsid w:val="006E39DE"/>
    <w:rsid w:val="006E7486"/>
    <w:rsid w:val="00702F3E"/>
    <w:rsid w:val="007051EC"/>
    <w:rsid w:val="00706919"/>
    <w:rsid w:val="00725980"/>
    <w:rsid w:val="00753782"/>
    <w:rsid w:val="007700BA"/>
    <w:rsid w:val="007C1437"/>
    <w:rsid w:val="007C7AE1"/>
    <w:rsid w:val="007D0C49"/>
    <w:rsid w:val="00800155"/>
    <w:rsid w:val="00801B0F"/>
    <w:rsid w:val="008047BC"/>
    <w:rsid w:val="008138FF"/>
    <w:rsid w:val="00830948"/>
    <w:rsid w:val="00852DDC"/>
    <w:rsid w:val="00866E79"/>
    <w:rsid w:val="008C02D3"/>
    <w:rsid w:val="008D595A"/>
    <w:rsid w:val="008D6B2E"/>
    <w:rsid w:val="008E18BE"/>
    <w:rsid w:val="00917BF9"/>
    <w:rsid w:val="00922137"/>
    <w:rsid w:val="0096613D"/>
    <w:rsid w:val="00973E05"/>
    <w:rsid w:val="009857E4"/>
    <w:rsid w:val="0099229D"/>
    <w:rsid w:val="0099775A"/>
    <w:rsid w:val="009A73E9"/>
    <w:rsid w:val="009B21D9"/>
    <w:rsid w:val="009D068E"/>
    <w:rsid w:val="009F7803"/>
    <w:rsid w:val="00A05A52"/>
    <w:rsid w:val="00A10643"/>
    <w:rsid w:val="00A32825"/>
    <w:rsid w:val="00A53619"/>
    <w:rsid w:val="00A63724"/>
    <w:rsid w:val="00A67A85"/>
    <w:rsid w:val="00A7032B"/>
    <w:rsid w:val="00A949C6"/>
    <w:rsid w:val="00B471F8"/>
    <w:rsid w:val="00B65DDD"/>
    <w:rsid w:val="00B66989"/>
    <w:rsid w:val="00BA2E83"/>
    <w:rsid w:val="00BB442D"/>
    <w:rsid w:val="00BC6EF0"/>
    <w:rsid w:val="00BE7215"/>
    <w:rsid w:val="00BF0AD7"/>
    <w:rsid w:val="00C11624"/>
    <w:rsid w:val="00C1244C"/>
    <w:rsid w:val="00C16C03"/>
    <w:rsid w:val="00C31D13"/>
    <w:rsid w:val="00C448D9"/>
    <w:rsid w:val="00C62288"/>
    <w:rsid w:val="00CA05BB"/>
    <w:rsid w:val="00CE7CB4"/>
    <w:rsid w:val="00D34E22"/>
    <w:rsid w:val="00D4772C"/>
    <w:rsid w:val="00D55C33"/>
    <w:rsid w:val="00D5727B"/>
    <w:rsid w:val="00D76F41"/>
    <w:rsid w:val="00D95E23"/>
    <w:rsid w:val="00D96908"/>
    <w:rsid w:val="00DA0063"/>
    <w:rsid w:val="00E056A2"/>
    <w:rsid w:val="00E172D8"/>
    <w:rsid w:val="00E2017F"/>
    <w:rsid w:val="00E306E5"/>
    <w:rsid w:val="00E35790"/>
    <w:rsid w:val="00E6036A"/>
    <w:rsid w:val="00E7230E"/>
    <w:rsid w:val="00E85E92"/>
    <w:rsid w:val="00EA1A0C"/>
    <w:rsid w:val="00EC7B30"/>
    <w:rsid w:val="00EF046D"/>
    <w:rsid w:val="00EF438E"/>
    <w:rsid w:val="00F05A6A"/>
    <w:rsid w:val="00F33FF2"/>
    <w:rsid w:val="00F371B5"/>
    <w:rsid w:val="00F41E04"/>
    <w:rsid w:val="00F5489D"/>
    <w:rsid w:val="00FC5935"/>
    <w:rsid w:val="00FC7DA5"/>
    <w:rsid w:val="03DD3673"/>
    <w:rsid w:val="086925C0"/>
    <w:rsid w:val="0F4909E2"/>
    <w:rsid w:val="102C0EC2"/>
    <w:rsid w:val="11B45B5C"/>
    <w:rsid w:val="11BF44DF"/>
    <w:rsid w:val="1ABBFE53"/>
    <w:rsid w:val="1ADD82BF"/>
    <w:rsid w:val="261D2218"/>
    <w:rsid w:val="345C2C82"/>
    <w:rsid w:val="362E21F0"/>
    <w:rsid w:val="39FB19A9"/>
    <w:rsid w:val="3CD242B2"/>
    <w:rsid w:val="3CEF7E38"/>
    <w:rsid w:val="3E9EC327"/>
    <w:rsid w:val="3EBF18FE"/>
    <w:rsid w:val="3EFB41F2"/>
    <w:rsid w:val="3FE6732B"/>
    <w:rsid w:val="3FF7CAB1"/>
    <w:rsid w:val="428B43B1"/>
    <w:rsid w:val="42BF6890"/>
    <w:rsid w:val="4BFC2A75"/>
    <w:rsid w:val="4DDD28F5"/>
    <w:rsid w:val="4FB3B8C2"/>
    <w:rsid w:val="537F2626"/>
    <w:rsid w:val="5F6A5757"/>
    <w:rsid w:val="5FB34D46"/>
    <w:rsid w:val="601577FA"/>
    <w:rsid w:val="6C7F9869"/>
    <w:rsid w:val="6FD3F640"/>
    <w:rsid w:val="6FEF7264"/>
    <w:rsid w:val="70AB2A8C"/>
    <w:rsid w:val="72EA1E9C"/>
    <w:rsid w:val="76B036BD"/>
    <w:rsid w:val="76F76E9A"/>
    <w:rsid w:val="77225EDC"/>
    <w:rsid w:val="77357561"/>
    <w:rsid w:val="78CF300B"/>
    <w:rsid w:val="79F2758E"/>
    <w:rsid w:val="7A1F7E3A"/>
    <w:rsid w:val="7ABF9C35"/>
    <w:rsid w:val="7AEC944A"/>
    <w:rsid w:val="7B91A95A"/>
    <w:rsid w:val="7BDF0F6D"/>
    <w:rsid w:val="7BF3165E"/>
    <w:rsid w:val="7CFFDC51"/>
    <w:rsid w:val="7E77F37C"/>
    <w:rsid w:val="7F692EE5"/>
    <w:rsid w:val="7F7F4B03"/>
    <w:rsid w:val="7FC1E677"/>
    <w:rsid w:val="7FCF1F29"/>
    <w:rsid w:val="7FFAD830"/>
    <w:rsid w:val="7FFDF34D"/>
    <w:rsid w:val="7FFFBBF8"/>
    <w:rsid w:val="A355FEA3"/>
    <w:rsid w:val="A7D912B4"/>
    <w:rsid w:val="B03A304E"/>
    <w:rsid w:val="B4FFDD25"/>
    <w:rsid w:val="BAF5B2B3"/>
    <w:rsid w:val="BFBB4C67"/>
    <w:rsid w:val="D5CF07DA"/>
    <w:rsid w:val="D7A930EC"/>
    <w:rsid w:val="D7F79D17"/>
    <w:rsid w:val="DEAF1C38"/>
    <w:rsid w:val="DEDBCD15"/>
    <w:rsid w:val="E69BBB4F"/>
    <w:rsid w:val="E7E266F3"/>
    <w:rsid w:val="EBFF58EA"/>
    <w:rsid w:val="ECAC4C6D"/>
    <w:rsid w:val="EDF9988C"/>
    <w:rsid w:val="EFFD6662"/>
    <w:rsid w:val="F7F7E360"/>
    <w:rsid w:val="F9E6A9E3"/>
    <w:rsid w:val="F9EF6F46"/>
    <w:rsid w:val="FB2FAC48"/>
    <w:rsid w:val="FB9F8458"/>
    <w:rsid w:val="FCF65D69"/>
    <w:rsid w:val="FDDC5D44"/>
    <w:rsid w:val="FDFE5AC2"/>
    <w:rsid w:val="FEB78CEB"/>
    <w:rsid w:val="FEFD225E"/>
    <w:rsid w:val="FEFF3FC2"/>
    <w:rsid w:val="FF7A9D54"/>
    <w:rsid w:val="FF7B05E2"/>
    <w:rsid w:val="FF7D1087"/>
    <w:rsid w:val="FFBB58BA"/>
    <w:rsid w:val="FFDF3F33"/>
    <w:rsid w:val="FFFB4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99"/>
    <w:pPr>
      <w:spacing w:beforeAutospacing="1" w:afterAutospacing="1"/>
      <w:jc w:val="left"/>
      <w:outlineLvl w:val="1"/>
    </w:pPr>
    <w:rPr>
      <w:rFonts w:ascii="宋体" w:hAnsi="宋体"/>
      <w:kern w:val="0"/>
      <w:sz w:val="36"/>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after="120"/>
    </w:pPr>
    <w:rPr>
      <w:rFonts w:ascii="Arial" w:hAnsi="Arial" w:cs="Arial"/>
      <w:sz w:val="24"/>
      <w:szCs w:val="28"/>
    </w:rPr>
  </w:style>
  <w:style w:type="paragraph" w:styleId="5">
    <w:name w:val="Normal Indent"/>
    <w:basedOn w:val="1"/>
    <w:next w:val="1"/>
    <w:qFormat/>
    <w:uiPriority w:val="0"/>
    <w:pPr>
      <w:ind w:firstLine="420" w:firstLineChars="200"/>
    </w:pPr>
    <w:rPr>
      <w:rFonts w:eastAsia="仿宋"/>
    </w:rPr>
  </w:style>
  <w:style w:type="paragraph" w:styleId="6">
    <w:name w:val="Body Text"/>
    <w:basedOn w:val="1"/>
    <w:link w:val="23"/>
    <w:unhideWhenUsed/>
    <w:qFormat/>
    <w:uiPriority w:val="99"/>
    <w:pPr>
      <w:spacing w:after="120"/>
    </w:pPr>
  </w:style>
  <w:style w:type="paragraph" w:styleId="7">
    <w:name w:val="Body Text Indent"/>
    <w:basedOn w:val="1"/>
    <w:next w:val="5"/>
    <w:link w:val="19"/>
    <w:semiHidden/>
    <w:unhideWhenUsed/>
    <w:qFormat/>
    <w:uiPriority w:val="99"/>
    <w:pPr>
      <w:spacing w:after="120"/>
      <w:ind w:left="420" w:leftChars="200"/>
    </w:pPr>
  </w:style>
  <w:style w:type="paragraph" w:styleId="8">
    <w:name w:val="footer"/>
    <w:basedOn w:val="1"/>
    <w:link w:val="21"/>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Calibri" w:hAnsi="Calibri" w:eastAsia="宋体"/>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2">
    <w:name w:val="Normal (Web)"/>
    <w:basedOn w:val="1"/>
    <w:semiHidden/>
    <w:unhideWhenUsed/>
    <w:qFormat/>
    <w:uiPriority w:val="99"/>
    <w:rPr>
      <w:sz w:val="24"/>
    </w:rPr>
  </w:style>
  <w:style w:type="paragraph" w:styleId="13">
    <w:name w:val="Body Text First Indent 2"/>
    <w:basedOn w:val="7"/>
    <w:next w:val="1"/>
    <w:link w:val="20"/>
    <w:qFormat/>
    <w:uiPriority w:val="99"/>
    <w:pPr>
      <w:ind w:firstLine="420" w:firstLineChars="200"/>
    </w:pPr>
    <w:rPr>
      <w:szCs w:val="24"/>
    </w:rPr>
  </w:style>
  <w:style w:type="character" w:styleId="16">
    <w:name w:val="Strong"/>
    <w:basedOn w:val="15"/>
    <w:qFormat/>
    <w:uiPriority w:val="0"/>
    <w:rPr>
      <w:b/>
    </w:rPr>
  </w:style>
  <w:style w:type="character" w:customStyle="1" w:styleId="17">
    <w:name w:val="页眉 Char"/>
    <w:basedOn w:val="15"/>
    <w:link w:val="9"/>
    <w:semiHidden/>
    <w:qFormat/>
    <w:uiPriority w:val="99"/>
    <w:rPr>
      <w:sz w:val="18"/>
      <w:szCs w:val="18"/>
    </w:rPr>
  </w:style>
  <w:style w:type="character" w:customStyle="1" w:styleId="18">
    <w:name w:val="页脚 Char"/>
    <w:basedOn w:val="15"/>
    <w:link w:val="8"/>
    <w:semiHidden/>
    <w:qFormat/>
    <w:uiPriority w:val="99"/>
    <w:rPr>
      <w:sz w:val="18"/>
      <w:szCs w:val="18"/>
    </w:rPr>
  </w:style>
  <w:style w:type="character" w:customStyle="1" w:styleId="19">
    <w:name w:val="正文文本缩进 Char"/>
    <w:basedOn w:val="15"/>
    <w:link w:val="7"/>
    <w:semiHidden/>
    <w:qFormat/>
    <w:uiPriority w:val="99"/>
  </w:style>
  <w:style w:type="character" w:customStyle="1" w:styleId="20">
    <w:name w:val="正文首行缩进 2 Char"/>
    <w:basedOn w:val="19"/>
    <w:link w:val="13"/>
    <w:qFormat/>
    <w:uiPriority w:val="99"/>
    <w:rPr>
      <w:szCs w:val="24"/>
    </w:rPr>
  </w:style>
  <w:style w:type="character" w:customStyle="1" w:styleId="21">
    <w:name w:val="页脚 Char1"/>
    <w:basedOn w:val="15"/>
    <w:link w:val="8"/>
    <w:qFormat/>
    <w:uiPriority w:val="0"/>
    <w:rPr>
      <w:sz w:val="18"/>
      <w:szCs w:val="18"/>
    </w:rPr>
  </w:style>
  <w:style w:type="character" w:customStyle="1" w:styleId="22">
    <w:name w:val="页脚 字符1"/>
    <w:basedOn w:val="15"/>
    <w:qFormat/>
    <w:uiPriority w:val="0"/>
    <w:rPr>
      <w:kern w:val="2"/>
      <w:sz w:val="18"/>
      <w:szCs w:val="18"/>
    </w:rPr>
  </w:style>
  <w:style w:type="character" w:customStyle="1" w:styleId="23">
    <w:name w:val="正文文本 Char"/>
    <w:basedOn w:val="15"/>
    <w:link w:val="6"/>
    <w:qFormat/>
    <w:uiPriority w:val="99"/>
    <w:rPr>
      <w:rFonts w:asciiTheme="minorHAnsi" w:hAnsiTheme="minorHAnsi" w:eastAsiaTheme="minorEastAsia" w:cstheme="minorBidi"/>
      <w:kern w:val="2"/>
      <w:sz w:val="21"/>
      <w:szCs w:val="22"/>
    </w:rPr>
  </w:style>
  <w:style w:type="paragraph" w:customStyle="1" w:styleId="24">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335</Words>
  <Characters>1910</Characters>
  <Lines>15</Lines>
  <Paragraphs>4</Paragraphs>
  <TotalTime>58</TotalTime>
  <ScaleCrop>false</ScaleCrop>
  <LinksUpToDate>false</LinksUpToDate>
  <CharactersWithSpaces>2241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2022-12-08T15:52:00Z</dcterms:created>
  <dc:creator>DELL</dc:creator>
  <cp:lastModifiedBy>user</cp:lastModifiedBy>
  <cp:lastPrinted>2024-03-28T23:32:00Z</cp:lastPrinted>
  <dcterms:modified xsi:type="dcterms:W3CDTF">2024-04-23T17:46:25Z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10775CDAFC51427AA1542A19D9A51905_13</vt:lpwstr>
  </property>
</Properties>
</file>