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《</w:t>
      </w:r>
      <w:r>
        <w:rPr>
          <w:rFonts w:hint="eastAsia" w:ascii="Times New Roman" w:hAnsi="Times New Roman" w:eastAsia="方正小标宋简体"/>
          <w:sz w:val="44"/>
          <w:szCs w:val="44"/>
        </w:rPr>
        <w:t>济宁市矿产资源“十五五”规划</w:t>
      </w:r>
    </w:p>
    <w:p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（征求意见稿）</w:t>
      </w:r>
      <w:r>
        <w:rPr>
          <w:rFonts w:ascii="Times New Roman" w:hAnsi="Times New Roman" w:eastAsia="方正小标宋简体"/>
          <w:sz w:val="44"/>
          <w:szCs w:val="44"/>
        </w:rPr>
        <w:t>》起草说明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720" w:firstLineChars="200"/>
        <w:rPr>
          <w:rStyle w:val="9"/>
          <w:rFonts w:hint="eastAsia" w:ascii="黑体" w:hAnsi="黑体" w:eastAsia="黑体"/>
          <w:b w:val="0"/>
          <w:sz w:val="36"/>
          <w:szCs w:val="36"/>
        </w:rPr>
      </w:pPr>
      <w:r>
        <w:rPr>
          <w:rStyle w:val="9"/>
          <w:rFonts w:ascii="黑体" w:hAnsi="黑体" w:eastAsia="黑体"/>
          <w:b w:val="0"/>
          <w:sz w:val="36"/>
          <w:szCs w:val="36"/>
        </w:rPr>
        <w:t>一、起草背景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矿产资源是经济社会发展的重要物质基础，矿产资源勘查开发事关国计民生和国家安全。矿产资源规划是统筹矿产勘查、开发、保护与生态修复的总纲领，更是保障国家资源安全、支撑经济社会高质量发展的关键抓手。</w:t>
      </w:r>
      <w:r>
        <w:rPr>
          <w:rFonts w:ascii="仿宋_GB2312" w:hAnsi="Times New Roman" w:eastAsia="仿宋_GB2312"/>
          <w:sz w:val="36"/>
          <w:szCs w:val="36"/>
        </w:rPr>
        <w:t>为充分发挥矿产资源基础性、支撑性作用，保障能源资源安全，推进矿产资源节约与高效利用，促进绿色矿山建设和矿区生态修复，</w:t>
      </w:r>
      <w:r>
        <w:rPr>
          <w:rFonts w:hint="eastAsia" w:ascii="仿宋_GB2312" w:hAnsi="Times New Roman" w:eastAsia="仿宋_GB2312"/>
          <w:sz w:val="36"/>
          <w:szCs w:val="36"/>
        </w:rPr>
        <w:t>按照《中华人民共和国矿产资源法》《矿产资源规划编制实施办法》《济宁市国民经济和社会发展第十五个五年规划纲要》等要求，编制形成了《济宁市矿产资源“十五五”规划（征求意见稿）》（以下简称《规划》）。</w:t>
      </w:r>
    </w:p>
    <w:p>
      <w:pPr>
        <w:spacing w:line="600" w:lineRule="exact"/>
        <w:ind w:firstLine="720" w:firstLineChars="200"/>
        <w:rPr>
          <w:rStyle w:val="9"/>
          <w:rFonts w:hint="eastAsia" w:ascii="黑体" w:hAnsi="黑体" w:eastAsia="黑体"/>
          <w:b w:val="0"/>
          <w:sz w:val="36"/>
          <w:szCs w:val="36"/>
        </w:rPr>
      </w:pPr>
      <w:r>
        <w:rPr>
          <w:rStyle w:val="9"/>
          <w:rFonts w:hint="eastAsia" w:ascii="黑体" w:hAnsi="黑体" w:eastAsia="黑体"/>
          <w:b w:val="0"/>
          <w:sz w:val="36"/>
          <w:szCs w:val="36"/>
        </w:rPr>
        <w:t>二、起草过程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《规划》于2025年10月开始编制。2026年3月，完成济宁市矿产资源调查评价与勘查、煤炭资源开发利用、矿产资源开发利用与保护、</w:t>
      </w:r>
      <w:r>
        <w:rPr>
          <w:rFonts w:hint="eastAsia" w:ascii="仿宋_GB2312" w:hAnsi="Times New Roman" w:eastAsia="仿宋_GB2312"/>
          <w:sz w:val="36"/>
          <w:szCs w:val="36"/>
          <w:lang w:eastAsia="zh-CN"/>
        </w:rPr>
        <w:t>矿产资源形势分析与供需变化趋势</w:t>
      </w:r>
      <w:r>
        <w:rPr>
          <w:rFonts w:hint="eastAsia" w:ascii="仿宋_GB2312" w:hAnsi="Times New Roman" w:eastAsia="仿宋_GB2312"/>
          <w:sz w:val="36"/>
          <w:szCs w:val="36"/>
        </w:rPr>
        <w:t>等方面专题研究。5月中下旬，就主要目标指标、规划分区与省规划进行衔接。6月中旬，组织召开《规划》专家论证会，就《规划》主要内容开展专家论证，根据专家意见进一步修改完善，形成《规划》</w:t>
      </w:r>
      <w:bookmarkStart w:id="6" w:name="_GoBack"/>
      <w:bookmarkEnd w:id="6"/>
      <w:r>
        <w:rPr>
          <w:rFonts w:hint="eastAsia" w:ascii="仿宋_GB2312" w:hAnsi="Times New Roman" w:eastAsia="仿宋_GB2312"/>
          <w:sz w:val="36"/>
          <w:szCs w:val="36"/>
        </w:rPr>
        <w:t>。</w:t>
      </w:r>
    </w:p>
    <w:p>
      <w:pPr>
        <w:spacing w:line="600" w:lineRule="exact"/>
        <w:ind w:firstLine="720" w:firstLineChars="200"/>
        <w:rPr>
          <w:rStyle w:val="9"/>
          <w:rFonts w:hint="eastAsia" w:ascii="黑体" w:hAnsi="黑体" w:eastAsia="黑体"/>
          <w:b w:val="0"/>
          <w:sz w:val="36"/>
          <w:szCs w:val="36"/>
        </w:rPr>
      </w:pPr>
      <w:r>
        <w:rPr>
          <w:rStyle w:val="9"/>
          <w:rFonts w:hint="eastAsia" w:ascii="黑体" w:hAnsi="黑体" w:eastAsia="黑体"/>
          <w:b w:val="0"/>
          <w:sz w:val="36"/>
          <w:szCs w:val="36"/>
        </w:rPr>
        <w:t>三、起草依据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1.《中华人民共和国矿产资源法》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2.《矿产资源规划编制实施办法》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3.《济宁市国民经济和社会发展第十五个五年规划纲要》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4.《济宁市国土空间总体规划（2021—2035年）》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5.《自然资源部办公厅关于开展“十四五”矿产资源规划总结评估及“十五五”规划编制工作的通知》（自然资办发〔2025〕19号）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6.</w:t>
      </w:r>
      <w:bookmarkStart w:id="0" w:name="OLE_LINK30"/>
      <w:r>
        <w:rPr>
          <w:rFonts w:hint="eastAsia" w:ascii="仿宋_GB2312" w:hAnsi="Times New Roman" w:eastAsia="仿宋_GB2312"/>
          <w:sz w:val="36"/>
          <w:szCs w:val="36"/>
        </w:rPr>
        <w:t>《山东省自然资源厅办公室关于开展矿产资源总体规划（2026-2030年）编制工作的通知》</w:t>
      </w:r>
      <w:bookmarkEnd w:id="0"/>
      <w:r>
        <w:rPr>
          <w:rFonts w:ascii="仿宋_GB2312" w:hAnsi="Times New Roman" w:eastAsia="仿宋_GB2312"/>
          <w:sz w:val="36"/>
          <w:szCs w:val="36"/>
        </w:rPr>
        <w:t>（鲁自然资办</w:t>
      </w:r>
      <w:r>
        <w:rPr>
          <w:rFonts w:hint="eastAsia" w:ascii="仿宋_GB2312" w:hAnsi="Times New Roman" w:eastAsia="仿宋_GB2312"/>
          <w:sz w:val="36"/>
          <w:szCs w:val="36"/>
        </w:rPr>
        <w:t>字</w:t>
      </w:r>
      <w:r>
        <w:rPr>
          <w:rFonts w:ascii="仿宋_GB2312" w:hAnsi="Times New Roman" w:eastAsia="仿宋_GB2312"/>
          <w:sz w:val="36"/>
          <w:szCs w:val="36"/>
        </w:rPr>
        <w:t>〔202</w:t>
      </w:r>
      <w:r>
        <w:rPr>
          <w:rFonts w:hint="eastAsia" w:ascii="仿宋_GB2312" w:hAnsi="Times New Roman" w:eastAsia="仿宋_GB2312"/>
          <w:sz w:val="36"/>
          <w:szCs w:val="36"/>
        </w:rPr>
        <w:t>5</w:t>
      </w:r>
      <w:r>
        <w:rPr>
          <w:rFonts w:ascii="仿宋_GB2312" w:hAnsi="Times New Roman" w:eastAsia="仿宋_GB2312"/>
          <w:sz w:val="36"/>
          <w:szCs w:val="36"/>
        </w:rPr>
        <w:t>〕</w:t>
      </w:r>
      <w:r>
        <w:rPr>
          <w:rFonts w:hint="eastAsia" w:ascii="仿宋_GB2312" w:hAnsi="Times New Roman" w:eastAsia="仿宋_GB2312"/>
          <w:sz w:val="36"/>
          <w:szCs w:val="36"/>
        </w:rPr>
        <w:t>56</w:t>
      </w:r>
      <w:r>
        <w:rPr>
          <w:rFonts w:ascii="仿宋_GB2312" w:hAnsi="Times New Roman" w:eastAsia="仿宋_GB2312"/>
          <w:sz w:val="36"/>
          <w:szCs w:val="36"/>
        </w:rPr>
        <w:t>号）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7.《山东省矿产资源“十五五”规划（公开征求意见稿）》</w:t>
      </w:r>
    </w:p>
    <w:p>
      <w:pPr>
        <w:spacing w:line="600" w:lineRule="exact"/>
        <w:ind w:firstLine="720" w:firstLineChars="200"/>
        <w:rPr>
          <w:rStyle w:val="9"/>
          <w:rFonts w:hint="eastAsia" w:ascii="黑体" w:hAnsi="黑体" w:eastAsia="黑体"/>
          <w:b w:val="0"/>
          <w:sz w:val="36"/>
          <w:szCs w:val="36"/>
        </w:rPr>
      </w:pPr>
      <w:r>
        <w:rPr>
          <w:rStyle w:val="9"/>
          <w:rFonts w:hint="eastAsia" w:ascii="黑体" w:hAnsi="黑体" w:eastAsia="黑体"/>
          <w:b w:val="0"/>
          <w:sz w:val="36"/>
          <w:szCs w:val="36"/>
        </w:rPr>
        <w:t>四</w:t>
      </w:r>
      <w:r>
        <w:rPr>
          <w:rStyle w:val="9"/>
          <w:rFonts w:ascii="黑体" w:hAnsi="黑体" w:eastAsia="黑体"/>
          <w:b w:val="0"/>
          <w:sz w:val="36"/>
          <w:szCs w:val="36"/>
        </w:rPr>
        <w:t>、主要内容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仿宋_GB2312" w:hAnsi="Times New Roman" w:eastAsia="仿宋_GB2312"/>
          <w:sz w:val="36"/>
          <w:szCs w:val="36"/>
        </w:rPr>
        <w:t>《规划》包括总则、指导思想和原则、规划目标指标、矿产勘查开发与保护布局、</w:t>
      </w:r>
      <w:r>
        <w:rPr>
          <w:rFonts w:ascii="仿宋_GB2312" w:hAnsi="Times New Roman" w:eastAsia="仿宋_GB2312"/>
          <w:sz w:val="36"/>
          <w:szCs w:val="36"/>
        </w:rPr>
        <w:t>矿产资源勘查开采利用与保护</w:t>
      </w:r>
      <w:r>
        <w:rPr>
          <w:rFonts w:hint="eastAsia" w:ascii="仿宋_GB2312" w:hAnsi="Times New Roman" w:eastAsia="仿宋_GB2312"/>
          <w:sz w:val="36"/>
          <w:szCs w:val="36"/>
        </w:rPr>
        <w:t>、</w:t>
      </w:r>
      <w:r>
        <w:rPr>
          <w:rFonts w:ascii="仿宋_GB2312" w:hAnsi="Times New Roman" w:eastAsia="仿宋_GB2312"/>
          <w:sz w:val="36"/>
          <w:szCs w:val="36"/>
        </w:rPr>
        <w:t>绿色矿山建设和矿区生态环境保护修复</w:t>
      </w:r>
      <w:r>
        <w:rPr>
          <w:rFonts w:hint="eastAsia" w:ascii="仿宋_GB2312" w:hAnsi="Times New Roman" w:eastAsia="仿宋_GB2312"/>
          <w:sz w:val="36"/>
          <w:szCs w:val="36"/>
        </w:rPr>
        <w:t>、环境影响评价、规划保障措施等内容。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（一）总则。</w:t>
      </w:r>
      <w:r>
        <w:rPr>
          <w:rFonts w:hint="eastAsia" w:ascii="仿宋_GB2312" w:hAnsi="Times New Roman" w:eastAsia="仿宋_GB2312"/>
          <w:sz w:val="36"/>
          <w:szCs w:val="36"/>
        </w:rPr>
        <w:t>规定了《规划》的制定依据、适用范围，以及规划周期。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（二）指导思想和原则。</w:t>
      </w:r>
      <w:r>
        <w:rPr>
          <w:rFonts w:hint="eastAsia" w:ascii="仿宋_GB2312" w:hAnsi="Times New Roman" w:eastAsia="仿宋_GB2312"/>
          <w:sz w:val="36"/>
          <w:szCs w:val="36"/>
        </w:rPr>
        <w:t>明确了指导思想，确定了</w:t>
      </w:r>
      <w:bookmarkStart w:id="1" w:name="_Hlk230598392"/>
      <w:r>
        <w:rPr>
          <w:rFonts w:ascii="仿宋_GB2312" w:hAnsi="Times New Roman" w:eastAsia="仿宋_GB2312"/>
          <w:sz w:val="36"/>
          <w:szCs w:val="36"/>
        </w:rPr>
        <w:t>坚持</w:t>
      </w:r>
      <w:r>
        <w:rPr>
          <w:rFonts w:hint="eastAsia" w:ascii="仿宋_GB2312" w:hAnsi="Times New Roman" w:eastAsia="仿宋_GB2312"/>
          <w:sz w:val="36"/>
          <w:szCs w:val="36"/>
        </w:rPr>
        <w:t>资源保障与生态保护相统筹</w:t>
      </w:r>
      <w:bookmarkEnd w:id="1"/>
      <w:r>
        <w:rPr>
          <w:rFonts w:hint="eastAsia" w:ascii="仿宋_GB2312" w:hAnsi="Times New Roman" w:eastAsia="仿宋_GB2312"/>
          <w:sz w:val="36"/>
          <w:szCs w:val="36"/>
        </w:rPr>
        <w:t>、</w:t>
      </w:r>
      <w:bookmarkStart w:id="2" w:name="_Hlk230598398"/>
      <w:r>
        <w:rPr>
          <w:rFonts w:ascii="仿宋_GB2312" w:hAnsi="Times New Roman" w:eastAsia="仿宋_GB2312"/>
          <w:sz w:val="36"/>
          <w:szCs w:val="36"/>
        </w:rPr>
        <w:t>坚持</w:t>
      </w:r>
      <w:r>
        <w:rPr>
          <w:rFonts w:hint="eastAsia" w:ascii="仿宋_GB2312" w:hAnsi="Times New Roman" w:eastAsia="仿宋_GB2312"/>
          <w:sz w:val="36"/>
          <w:szCs w:val="36"/>
        </w:rPr>
        <w:t>资源开发与经济发展相适应</w:t>
      </w:r>
      <w:bookmarkEnd w:id="2"/>
      <w:r>
        <w:rPr>
          <w:rFonts w:hint="eastAsia" w:ascii="仿宋_GB2312" w:hAnsi="Times New Roman" w:eastAsia="仿宋_GB2312"/>
          <w:sz w:val="36"/>
          <w:szCs w:val="36"/>
        </w:rPr>
        <w:t>、</w:t>
      </w:r>
      <w:bookmarkStart w:id="3" w:name="_Hlk230598405"/>
      <w:r>
        <w:rPr>
          <w:rFonts w:ascii="仿宋_GB2312" w:hAnsi="Times New Roman" w:eastAsia="仿宋_GB2312"/>
          <w:sz w:val="36"/>
          <w:szCs w:val="36"/>
        </w:rPr>
        <w:t>坚持</w:t>
      </w:r>
      <w:r>
        <w:rPr>
          <w:rFonts w:hint="eastAsia" w:ascii="仿宋_GB2312" w:hAnsi="Times New Roman" w:eastAsia="仿宋_GB2312"/>
          <w:sz w:val="36"/>
          <w:szCs w:val="36"/>
        </w:rPr>
        <w:t>资源保护与高效利用相结合</w:t>
      </w:r>
      <w:bookmarkEnd w:id="3"/>
      <w:r>
        <w:rPr>
          <w:rFonts w:hint="eastAsia" w:ascii="仿宋_GB2312" w:hAnsi="Times New Roman" w:eastAsia="仿宋_GB2312"/>
          <w:sz w:val="36"/>
          <w:szCs w:val="36"/>
        </w:rPr>
        <w:t>、</w:t>
      </w:r>
      <w:bookmarkStart w:id="4" w:name="_Hlk230598418"/>
      <w:r>
        <w:rPr>
          <w:rFonts w:ascii="仿宋_GB2312" w:hAnsi="Times New Roman" w:eastAsia="仿宋_GB2312"/>
          <w:sz w:val="36"/>
          <w:szCs w:val="36"/>
        </w:rPr>
        <w:t>坚持</w:t>
      </w:r>
      <w:r>
        <w:rPr>
          <w:rFonts w:hint="eastAsia" w:ascii="仿宋_GB2312" w:hAnsi="Times New Roman" w:eastAsia="仿宋_GB2312"/>
          <w:sz w:val="36"/>
          <w:szCs w:val="36"/>
        </w:rPr>
        <w:t>科技创新与矿业发展相促进</w:t>
      </w:r>
      <w:bookmarkEnd w:id="4"/>
      <w:r>
        <w:rPr>
          <w:rFonts w:hint="eastAsia" w:ascii="仿宋_GB2312" w:hAnsi="Times New Roman" w:eastAsia="仿宋_GB2312"/>
          <w:sz w:val="36"/>
          <w:szCs w:val="36"/>
        </w:rPr>
        <w:t>等基本原则。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（三）规划目标指标。</w:t>
      </w:r>
      <w:r>
        <w:rPr>
          <w:rFonts w:hint="eastAsia" w:ascii="仿宋_GB2312" w:hAnsi="仿宋_GB2312" w:eastAsia="仿宋_GB2312" w:cs="仿宋_GB2312"/>
          <w:sz w:val="36"/>
          <w:szCs w:val="36"/>
        </w:rPr>
        <w:t>确立了基础地质工作稳步推进、</w:t>
      </w:r>
      <w:r>
        <w:rPr>
          <w:rFonts w:ascii="仿宋_GB2312" w:hAnsi="仿宋_GB2312" w:eastAsia="仿宋_GB2312" w:cs="仿宋_GB2312"/>
          <w:sz w:val="36"/>
          <w:szCs w:val="36"/>
        </w:rPr>
        <w:t>矿产资源勘查</w:t>
      </w:r>
      <w:r>
        <w:rPr>
          <w:rFonts w:hint="eastAsia" w:ascii="仿宋_GB2312" w:hAnsi="仿宋_GB2312" w:eastAsia="仿宋_GB2312" w:cs="仿宋_GB2312"/>
          <w:sz w:val="36"/>
          <w:szCs w:val="36"/>
        </w:rPr>
        <w:t>取得新突破、</w:t>
      </w:r>
      <w:r>
        <w:rPr>
          <w:rFonts w:ascii="仿宋_GB2312" w:hAnsi="仿宋_GB2312" w:eastAsia="仿宋_GB2312" w:cs="仿宋_GB2312"/>
          <w:sz w:val="36"/>
          <w:szCs w:val="36"/>
        </w:rPr>
        <w:t>矿产资源开发</w:t>
      </w:r>
      <w:r>
        <w:rPr>
          <w:rFonts w:hint="eastAsia" w:ascii="仿宋_GB2312" w:hAnsi="仿宋_GB2312" w:eastAsia="仿宋_GB2312" w:cs="仿宋_GB2312"/>
          <w:sz w:val="36"/>
          <w:szCs w:val="36"/>
        </w:rPr>
        <w:t>结构与开采</w:t>
      </w:r>
      <w:r>
        <w:rPr>
          <w:rFonts w:ascii="仿宋_GB2312" w:hAnsi="仿宋_GB2312" w:eastAsia="仿宋_GB2312" w:cs="仿宋_GB2312"/>
          <w:sz w:val="36"/>
          <w:szCs w:val="36"/>
        </w:rPr>
        <w:t>总量</w:t>
      </w:r>
      <w:r>
        <w:rPr>
          <w:rFonts w:hint="eastAsia" w:ascii="仿宋_GB2312" w:hAnsi="仿宋_GB2312" w:eastAsia="仿宋_GB2312" w:cs="仿宋_GB2312"/>
          <w:sz w:val="36"/>
          <w:szCs w:val="36"/>
        </w:rPr>
        <w:t>调控更加科学、</w:t>
      </w:r>
      <w:r>
        <w:rPr>
          <w:rFonts w:ascii="仿宋_GB2312" w:hAnsi="仿宋_GB2312" w:eastAsia="仿宋_GB2312" w:cs="仿宋_GB2312"/>
          <w:sz w:val="36"/>
          <w:szCs w:val="36"/>
        </w:rPr>
        <w:t>矿产资源节约集约与综合利用</w:t>
      </w:r>
      <w:r>
        <w:rPr>
          <w:rFonts w:hint="eastAsia" w:ascii="仿宋_GB2312" w:hAnsi="仿宋_GB2312" w:eastAsia="仿宋_GB2312" w:cs="仿宋_GB2312"/>
          <w:sz w:val="36"/>
          <w:szCs w:val="36"/>
        </w:rPr>
        <w:t>水平不断提升、</w:t>
      </w:r>
      <w:r>
        <w:rPr>
          <w:rFonts w:ascii="仿宋_GB2312" w:hAnsi="仿宋_GB2312" w:eastAsia="仿宋_GB2312" w:cs="仿宋_GB2312"/>
          <w:sz w:val="36"/>
          <w:szCs w:val="36"/>
        </w:rPr>
        <w:t>矿业绿色发展</w:t>
      </w:r>
      <w:r>
        <w:rPr>
          <w:rFonts w:hint="eastAsia" w:ascii="仿宋_GB2312" w:hAnsi="仿宋_GB2312" w:eastAsia="仿宋_GB2312" w:cs="仿宋_GB2312"/>
          <w:sz w:val="36"/>
          <w:szCs w:val="36"/>
        </w:rPr>
        <w:t>取得新成效等规划目标及2035年展望目标。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（四）</w:t>
      </w:r>
      <w:r>
        <w:rPr>
          <w:rFonts w:ascii="楷体_GB2312" w:hAnsi="楷体_GB2312" w:eastAsia="楷体_GB2312" w:cs="楷体_GB2312"/>
          <w:sz w:val="36"/>
          <w:szCs w:val="36"/>
        </w:rPr>
        <w:t>矿产勘查开发与保护布局</w:t>
      </w:r>
      <w:r>
        <w:rPr>
          <w:rFonts w:hint="eastAsia" w:ascii="楷体_GB2312" w:hAnsi="楷体_GB2312" w:eastAsia="楷体_GB2312" w:cs="楷体_GB2312"/>
          <w:sz w:val="36"/>
          <w:szCs w:val="36"/>
        </w:rPr>
        <w:t>。</w:t>
      </w:r>
      <w:r>
        <w:rPr>
          <w:rFonts w:ascii="仿宋_GB2312" w:hAnsi="Times New Roman" w:eastAsia="仿宋_GB2312"/>
          <w:sz w:val="36"/>
          <w:szCs w:val="36"/>
        </w:rPr>
        <w:t>落实省规划</w:t>
      </w:r>
      <w:r>
        <w:rPr>
          <w:rFonts w:hint="eastAsia" w:ascii="仿宋_GB2312" w:hAnsi="Times New Roman" w:eastAsia="仿宋_GB2312"/>
          <w:sz w:val="36"/>
          <w:szCs w:val="36"/>
        </w:rPr>
        <w:t>有关</w:t>
      </w:r>
      <w:r>
        <w:rPr>
          <w:rFonts w:ascii="仿宋_GB2312" w:hAnsi="Times New Roman" w:eastAsia="仿宋_GB2312"/>
          <w:sz w:val="36"/>
          <w:szCs w:val="36"/>
        </w:rPr>
        <w:t>要求，结合</w:t>
      </w:r>
      <w:r>
        <w:rPr>
          <w:rFonts w:hint="eastAsia" w:ascii="仿宋_GB2312" w:hAnsi="Times New Roman" w:eastAsia="仿宋_GB2312"/>
          <w:sz w:val="36"/>
          <w:szCs w:val="36"/>
        </w:rPr>
        <w:t>济宁市实际</w:t>
      </w:r>
      <w:r>
        <w:rPr>
          <w:rFonts w:ascii="仿宋_GB2312" w:hAnsi="Times New Roman" w:eastAsia="仿宋_GB2312"/>
          <w:sz w:val="36"/>
          <w:szCs w:val="36"/>
        </w:rPr>
        <w:t>，合理确定重点</w:t>
      </w:r>
      <w:r>
        <w:rPr>
          <w:rFonts w:hint="eastAsia" w:ascii="仿宋_GB2312" w:hAnsi="Times New Roman" w:eastAsia="仿宋_GB2312"/>
          <w:sz w:val="36"/>
          <w:szCs w:val="36"/>
        </w:rPr>
        <w:t>勘查开采与限制</w:t>
      </w:r>
      <w:r>
        <w:rPr>
          <w:rFonts w:ascii="仿宋_GB2312" w:hAnsi="Times New Roman" w:eastAsia="仿宋_GB2312"/>
          <w:sz w:val="36"/>
          <w:szCs w:val="36"/>
        </w:rPr>
        <w:t>开采矿种。</w:t>
      </w:r>
      <w:r>
        <w:rPr>
          <w:rFonts w:hint="eastAsia" w:ascii="仿宋_GB2312" w:hAnsi="Times New Roman" w:eastAsia="仿宋_GB2312"/>
          <w:sz w:val="36"/>
          <w:szCs w:val="36"/>
        </w:rPr>
        <w:t>根据济宁市矿产资源分布特征及矿业空间布局，构建</w:t>
      </w:r>
      <w:r>
        <w:rPr>
          <w:rFonts w:ascii="仿宋_GB2312" w:hAnsi="Times New Roman" w:eastAsia="仿宋_GB2312"/>
          <w:sz w:val="36"/>
          <w:szCs w:val="36"/>
        </w:rPr>
        <w:t>任城-兖州-邹城煤炭开发区、汶上北部铁矿资源勘查开发区、邹城—泗水建材及非金属矿业经济区、济宁市城区周边地热资源勘查开发区四个分区</w:t>
      </w:r>
      <w:r>
        <w:rPr>
          <w:rFonts w:hint="eastAsia" w:ascii="仿宋_GB2312" w:hAnsi="Times New Roman" w:eastAsia="仿宋_GB2312"/>
          <w:sz w:val="36"/>
          <w:szCs w:val="36"/>
        </w:rPr>
        <w:t>。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（五）</w:t>
      </w:r>
      <w:r>
        <w:rPr>
          <w:rFonts w:ascii="楷体_GB2312" w:hAnsi="楷体_GB2312" w:eastAsia="楷体_GB2312" w:cs="楷体_GB2312"/>
          <w:sz w:val="36"/>
          <w:szCs w:val="36"/>
        </w:rPr>
        <w:t>矿产资源勘查开采利用与保护</w:t>
      </w:r>
      <w:r>
        <w:rPr>
          <w:rFonts w:hint="eastAsia" w:ascii="楷体_GB2312" w:hAnsi="楷体_GB2312" w:eastAsia="楷体_GB2312" w:cs="楷体_GB2312"/>
          <w:sz w:val="36"/>
          <w:szCs w:val="36"/>
        </w:rPr>
        <w:t>。</w:t>
      </w:r>
      <w:r>
        <w:rPr>
          <w:rFonts w:hint="eastAsia" w:ascii="仿宋_GB2312" w:hAnsi="Times New Roman" w:eastAsia="仿宋_GB2312"/>
          <w:sz w:val="36"/>
          <w:szCs w:val="36"/>
        </w:rPr>
        <w:t>对地质调查与勘查、开发利用结构优化、矿业活动准入、勘查开采规划区块划定等方面提出了明确要求。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（六）</w:t>
      </w:r>
      <w:r>
        <w:rPr>
          <w:rFonts w:ascii="楷体_GB2312" w:hAnsi="楷体_GB2312" w:eastAsia="楷体_GB2312" w:cs="楷体_GB2312"/>
          <w:sz w:val="36"/>
          <w:szCs w:val="36"/>
        </w:rPr>
        <w:t>绿色矿山建设和矿区生态环境保护修复</w:t>
      </w:r>
      <w:r>
        <w:rPr>
          <w:rFonts w:hint="eastAsia" w:ascii="楷体_GB2312" w:hAnsi="楷体_GB2312" w:eastAsia="楷体_GB2312" w:cs="楷体_GB2312"/>
          <w:sz w:val="36"/>
          <w:szCs w:val="36"/>
        </w:rPr>
        <w:t>。</w:t>
      </w:r>
      <w:r>
        <w:rPr>
          <w:rFonts w:hint="eastAsia" w:ascii="仿宋_GB2312" w:hAnsi="Times New Roman" w:eastAsia="仿宋_GB2312"/>
          <w:sz w:val="36"/>
          <w:szCs w:val="36"/>
        </w:rPr>
        <w:t>按照省规划绿色矿山建设有关要求，结合济宁实际，从“分类推进”、“严格遴选”、“动态监管”、“措施保障”四个方面提出本级绿色矿山建设任务和管理措施。分新建矿山、生产矿山提出矿区生态修复有关规划要求、动态监管措施、相关制度完善等方面内容。</w:t>
      </w:r>
    </w:p>
    <w:p>
      <w:pPr>
        <w:spacing w:line="600" w:lineRule="exact"/>
        <w:ind w:firstLine="720" w:firstLineChars="200"/>
        <w:rPr>
          <w:rFonts w:ascii="仿宋_GB2312" w:hAnsi="Times New Roman" w:eastAsia="仿宋_GB2312"/>
          <w:sz w:val="36"/>
          <w:szCs w:val="36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（七）环境影响评价。</w:t>
      </w:r>
      <w:r>
        <w:rPr>
          <w:rFonts w:hint="eastAsia" w:ascii="仿宋_GB2312" w:hAnsi="Times New Roman" w:eastAsia="仿宋_GB2312"/>
          <w:sz w:val="36"/>
          <w:szCs w:val="36"/>
        </w:rPr>
        <w:t>评价了《规划》主要内容与法律法规、政策文件、相关规划等之间的协调性。系统分析了济宁市生态环境现状与承载能力。对《规划》实施可能对生态环境造成的影响进行了预测和评价。提出了不良环境影响的减缓措施。</w:t>
      </w:r>
    </w:p>
    <w:p>
      <w:pPr>
        <w:pStyle w:val="2"/>
        <w:numPr>
          <w:ilvl w:val="0"/>
          <w:numId w:val="0"/>
        </w:numPr>
        <w:spacing w:line="600" w:lineRule="exact"/>
        <w:ind w:firstLine="720" w:firstLineChars="200"/>
        <w:rPr>
          <w:rFonts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6"/>
          <w:szCs w:val="36"/>
        </w:rPr>
        <w:t>（八）规划保障措施。</w:t>
      </w:r>
      <w:r>
        <w:rPr>
          <w:rFonts w:hint="eastAsia" w:ascii="仿宋_GB2312" w:hAnsi="Times New Roman" w:eastAsia="仿宋_GB2312"/>
          <w:sz w:val="36"/>
          <w:szCs w:val="36"/>
        </w:rPr>
        <w:t>从</w:t>
      </w:r>
      <w:bookmarkStart w:id="5" w:name="_Hlk230601797"/>
      <w:r>
        <w:rPr>
          <w:rFonts w:ascii="仿宋_GB2312" w:hAnsi="Times New Roman" w:eastAsia="仿宋_GB2312"/>
          <w:sz w:val="36"/>
          <w:szCs w:val="36"/>
        </w:rPr>
        <w:t>强化</w:t>
      </w:r>
      <w:bookmarkEnd w:id="5"/>
      <w:r>
        <w:rPr>
          <w:rFonts w:ascii="仿宋_GB2312" w:hAnsi="Times New Roman" w:eastAsia="仿宋_GB2312"/>
          <w:sz w:val="36"/>
          <w:szCs w:val="36"/>
        </w:rPr>
        <w:t>组织统筹</w:t>
      </w:r>
      <w:r>
        <w:rPr>
          <w:rFonts w:hint="eastAsia" w:ascii="仿宋_GB2312" w:hAnsi="Times New Roman" w:eastAsia="仿宋_GB2312"/>
          <w:sz w:val="36"/>
          <w:szCs w:val="36"/>
        </w:rPr>
        <w:t>和</w:t>
      </w:r>
      <w:r>
        <w:rPr>
          <w:rFonts w:ascii="仿宋_GB2312" w:hAnsi="Times New Roman" w:eastAsia="仿宋_GB2312"/>
          <w:sz w:val="36"/>
          <w:szCs w:val="36"/>
        </w:rPr>
        <w:t>部门</w:t>
      </w:r>
      <w:r>
        <w:rPr>
          <w:rFonts w:hint="eastAsia" w:ascii="仿宋_GB2312" w:hAnsi="Times New Roman" w:eastAsia="仿宋_GB2312"/>
          <w:sz w:val="36"/>
          <w:szCs w:val="36"/>
        </w:rPr>
        <w:t>合作、</w:t>
      </w:r>
      <w:r>
        <w:rPr>
          <w:rFonts w:ascii="仿宋_GB2312" w:hAnsi="Times New Roman" w:eastAsia="仿宋_GB2312"/>
          <w:sz w:val="36"/>
          <w:szCs w:val="36"/>
        </w:rPr>
        <w:t>加大政策支撑力度</w:t>
      </w:r>
      <w:r>
        <w:rPr>
          <w:rFonts w:hint="eastAsia" w:ascii="仿宋_GB2312" w:hAnsi="Times New Roman" w:eastAsia="仿宋_GB2312"/>
          <w:sz w:val="36"/>
          <w:szCs w:val="36"/>
        </w:rPr>
        <w:t>、</w:t>
      </w:r>
      <w:r>
        <w:rPr>
          <w:rFonts w:ascii="仿宋_GB2312" w:hAnsi="Times New Roman" w:eastAsia="仿宋_GB2312"/>
          <w:sz w:val="36"/>
          <w:szCs w:val="36"/>
        </w:rPr>
        <w:t>深化数据驱动应用</w:t>
      </w:r>
      <w:r>
        <w:rPr>
          <w:rFonts w:hint="eastAsia" w:ascii="仿宋_GB2312" w:hAnsi="Times New Roman" w:eastAsia="仿宋_GB2312"/>
          <w:sz w:val="36"/>
          <w:szCs w:val="36"/>
        </w:rPr>
        <w:t>、</w:t>
      </w:r>
      <w:r>
        <w:rPr>
          <w:rFonts w:ascii="仿宋_GB2312" w:hAnsi="Times New Roman" w:eastAsia="仿宋_GB2312"/>
          <w:sz w:val="36"/>
          <w:szCs w:val="36"/>
        </w:rPr>
        <w:t>加强考核评价</w:t>
      </w:r>
      <w:r>
        <w:rPr>
          <w:rFonts w:hint="eastAsia" w:ascii="仿宋_GB2312" w:hAnsi="Times New Roman" w:eastAsia="仿宋_GB2312"/>
          <w:sz w:val="36"/>
          <w:szCs w:val="36"/>
        </w:rPr>
        <w:t>等方面提出了《规划》实施的保障措施。</w:t>
      </w:r>
    </w:p>
    <w:sectPr>
      <w:footerReference r:id="rId3" w:type="default"/>
      <w:pgSz w:w="11906" w:h="16838"/>
      <w:pgMar w:top="2098" w:right="1474" w:bottom="1984" w:left="1587" w:header="851" w:footer="1559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enter" w:pos="4153"/>
        <w:tab w:val="right" w:pos="8306"/>
        <w:tab w:val="clear" w:pos="4140"/>
        <w:tab w:val="clear" w:pos="8300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tabs>
                              <w:tab w:val="center" w:pos="4153"/>
                              <w:tab w:val="right" w:pos="8306"/>
                              <w:tab w:val="clear" w:pos="4140"/>
                              <w:tab w:val="clear" w:pos="8300"/>
                            </w:tabs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LZ5KVu1AQAAXwMAAA4AAABkcnMv&#10;ZTJvRG9jLnhtbK1TzY7TMBC+I/EOlu80aQ+oipqudrVahIQAaeEBXMduLPlPM26TvgC8AScu3Hmu&#10;Pgdjp+kucENcnPnz5++bmWxuRmfZUQGa4Fu+XNScKS9DZ/y+5Z8/Pbxac4ZJ+E7Y4FXLTwr5zfbl&#10;i80QG7UKfbCdAkYgHpshtrxPKTZVhbJXTuAiROUpqQM4kciFfdWBGAjd2WpV16+rIUAXIUiFSNH7&#10;Kcm3BV9rJdMHrVElZltO3FI5oZy7fFbbjWj2IGJv5IWG+AcWThhPj16h7kUS7ADmLyhnJAQMOi1k&#10;cFXQ2khVNJCaZf2HmsdeRFW0UHMwXtuE/w9Wvj9+BGY6mh1nXjga0fnb1/P3n+cfX9gyt2eI2FDV&#10;Y6S6NN6FseUJDmpOIcWz8FGDy1+SxKiEen269leNiUkKLter9bqmlKTc7NAT1dP1CJjeqOBYNloO&#10;NMDSV3F8h2kqnUvyaz48GGvLEK3/LUCYU0SVLbjczmImxtlK4268KNyF7kQCB9qElntaVc7sW0+N&#10;zkszGzAbu9k4RDD7noiWlmQCGG8PiVgVsvmRCZlEZoemWOReNi6vyXO/VD39F9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LZ5KVu1AQAAXw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tabs>
                        <w:tab w:val="center" w:pos="4153"/>
                        <w:tab w:val="right" w:pos="8306"/>
                        <w:tab w:val="clear" w:pos="4140"/>
                        <w:tab w:val="clear" w:pos="8300"/>
                      </w:tabs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6A734A"/>
    <w:multiLevelType w:val="singleLevel"/>
    <w:tmpl w:val="3F6A734A"/>
    <w:lvl w:ilvl="0" w:tentative="0">
      <w:start w:val="1"/>
      <w:numFmt w:val="decimal"/>
      <w:pStyle w:val="2"/>
      <w:lvlText w:val="%1."/>
      <w:lvlJc w:val="left"/>
      <w:pPr>
        <w:tabs>
          <w:tab w:val="left" w:pos="1200"/>
        </w:tabs>
        <w:ind w:left="12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F5ED54"/>
    <w:rsid w:val="00042002"/>
    <w:rsid w:val="00045CE2"/>
    <w:rsid w:val="00051335"/>
    <w:rsid w:val="00077169"/>
    <w:rsid w:val="000A0467"/>
    <w:rsid w:val="000A7884"/>
    <w:rsid w:val="000D068F"/>
    <w:rsid w:val="000D1F5D"/>
    <w:rsid w:val="000E0777"/>
    <w:rsid w:val="000E333A"/>
    <w:rsid w:val="000E7681"/>
    <w:rsid w:val="000F5A30"/>
    <w:rsid w:val="000F6132"/>
    <w:rsid w:val="000F74AA"/>
    <w:rsid w:val="00103F1B"/>
    <w:rsid w:val="00122907"/>
    <w:rsid w:val="0015080D"/>
    <w:rsid w:val="00153879"/>
    <w:rsid w:val="00156855"/>
    <w:rsid w:val="00166A74"/>
    <w:rsid w:val="0018267C"/>
    <w:rsid w:val="00184792"/>
    <w:rsid w:val="001D7163"/>
    <w:rsid w:val="001E24C4"/>
    <w:rsid w:val="001E7E99"/>
    <w:rsid w:val="001F6CE8"/>
    <w:rsid w:val="002043AF"/>
    <w:rsid w:val="002243CA"/>
    <w:rsid w:val="00237F01"/>
    <w:rsid w:val="00247D1B"/>
    <w:rsid w:val="002539DF"/>
    <w:rsid w:val="00261539"/>
    <w:rsid w:val="0026388C"/>
    <w:rsid w:val="00266BD1"/>
    <w:rsid w:val="00285599"/>
    <w:rsid w:val="00287C62"/>
    <w:rsid w:val="00290852"/>
    <w:rsid w:val="00297D8C"/>
    <w:rsid w:val="002A0809"/>
    <w:rsid w:val="002A3CEB"/>
    <w:rsid w:val="002A53EC"/>
    <w:rsid w:val="002B631F"/>
    <w:rsid w:val="002D2ADE"/>
    <w:rsid w:val="002D4D37"/>
    <w:rsid w:val="002F2669"/>
    <w:rsid w:val="00300FF6"/>
    <w:rsid w:val="003074EF"/>
    <w:rsid w:val="00324C43"/>
    <w:rsid w:val="00336195"/>
    <w:rsid w:val="00345A44"/>
    <w:rsid w:val="00345E5F"/>
    <w:rsid w:val="00357995"/>
    <w:rsid w:val="00374F25"/>
    <w:rsid w:val="003914B1"/>
    <w:rsid w:val="00392609"/>
    <w:rsid w:val="003A1313"/>
    <w:rsid w:val="003B2A1A"/>
    <w:rsid w:val="003C160D"/>
    <w:rsid w:val="003C3E1E"/>
    <w:rsid w:val="003E24CB"/>
    <w:rsid w:val="003F5726"/>
    <w:rsid w:val="003F7306"/>
    <w:rsid w:val="00412DFC"/>
    <w:rsid w:val="00417CD3"/>
    <w:rsid w:val="00455FC0"/>
    <w:rsid w:val="0047736F"/>
    <w:rsid w:val="00487B31"/>
    <w:rsid w:val="00491369"/>
    <w:rsid w:val="00495D1F"/>
    <w:rsid w:val="004A6B3F"/>
    <w:rsid w:val="004B5352"/>
    <w:rsid w:val="004C5296"/>
    <w:rsid w:val="004D0333"/>
    <w:rsid w:val="004F08C2"/>
    <w:rsid w:val="004F0AFF"/>
    <w:rsid w:val="00520030"/>
    <w:rsid w:val="00560A94"/>
    <w:rsid w:val="005649E7"/>
    <w:rsid w:val="00566F09"/>
    <w:rsid w:val="00573DF3"/>
    <w:rsid w:val="00575AB5"/>
    <w:rsid w:val="00583E4B"/>
    <w:rsid w:val="005B6F28"/>
    <w:rsid w:val="005D4B70"/>
    <w:rsid w:val="00611027"/>
    <w:rsid w:val="00613DCC"/>
    <w:rsid w:val="00621DD4"/>
    <w:rsid w:val="006356F3"/>
    <w:rsid w:val="00642E15"/>
    <w:rsid w:val="00656267"/>
    <w:rsid w:val="00664B95"/>
    <w:rsid w:val="006826B1"/>
    <w:rsid w:val="006926EA"/>
    <w:rsid w:val="00692E2F"/>
    <w:rsid w:val="006D2E1A"/>
    <w:rsid w:val="006E137B"/>
    <w:rsid w:val="006F528B"/>
    <w:rsid w:val="0070157B"/>
    <w:rsid w:val="007023EA"/>
    <w:rsid w:val="007105AE"/>
    <w:rsid w:val="007113EC"/>
    <w:rsid w:val="00726C28"/>
    <w:rsid w:val="0073747C"/>
    <w:rsid w:val="0075494B"/>
    <w:rsid w:val="0077588F"/>
    <w:rsid w:val="007830BC"/>
    <w:rsid w:val="0079109A"/>
    <w:rsid w:val="007B6009"/>
    <w:rsid w:val="007C0A4D"/>
    <w:rsid w:val="007C3D88"/>
    <w:rsid w:val="007D4B1A"/>
    <w:rsid w:val="007D54E3"/>
    <w:rsid w:val="007D5769"/>
    <w:rsid w:val="007D6300"/>
    <w:rsid w:val="007E4B3F"/>
    <w:rsid w:val="007F520A"/>
    <w:rsid w:val="00804447"/>
    <w:rsid w:val="00812A41"/>
    <w:rsid w:val="00825141"/>
    <w:rsid w:val="00827BA5"/>
    <w:rsid w:val="008559F2"/>
    <w:rsid w:val="008601C2"/>
    <w:rsid w:val="00863513"/>
    <w:rsid w:val="008710CE"/>
    <w:rsid w:val="00882C76"/>
    <w:rsid w:val="008831CC"/>
    <w:rsid w:val="008D3E2D"/>
    <w:rsid w:val="008E35CB"/>
    <w:rsid w:val="008F715B"/>
    <w:rsid w:val="00944885"/>
    <w:rsid w:val="00975F64"/>
    <w:rsid w:val="00994CE7"/>
    <w:rsid w:val="009970CF"/>
    <w:rsid w:val="009A45E2"/>
    <w:rsid w:val="009D3E0E"/>
    <w:rsid w:val="009D77D6"/>
    <w:rsid w:val="009E0D87"/>
    <w:rsid w:val="00A1667D"/>
    <w:rsid w:val="00A20786"/>
    <w:rsid w:val="00A2503B"/>
    <w:rsid w:val="00A26413"/>
    <w:rsid w:val="00A41786"/>
    <w:rsid w:val="00A43D56"/>
    <w:rsid w:val="00A45A09"/>
    <w:rsid w:val="00A55E2E"/>
    <w:rsid w:val="00A57DB2"/>
    <w:rsid w:val="00A71DF1"/>
    <w:rsid w:val="00A80C60"/>
    <w:rsid w:val="00AB6808"/>
    <w:rsid w:val="00AC3E47"/>
    <w:rsid w:val="00B00077"/>
    <w:rsid w:val="00B46166"/>
    <w:rsid w:val="00B5767B"/>
    <w:rsid w:val="00B62B48"/>
    <w:rsid w:val="00B65580"/>
    <w:rsid w:val="00B66CA0"/>
    <w:rsid w:val="00B80DEC"/>
    <w:rsid w:val="00B92B43"/>
    <w:rsid w:val="00BB4F21"/>
    <w:rsid w:val="00BD6754"/>
    <w:rsid w:val="00BF309A"/>
    <w:rsid w:val="00C14A00"/>
    <w:rsid w:val="00C21567"/>
    <w:rsid w:val="00C34260"/>
    <w:rsid w:val="00C55CE9"/>
    <w:rsid w:val="00C60B02"/>
    <w:rsid w:val="00C6570B"/>
    <w:rsid w:val="00C715B2"/>
    <w:rsid w:val="00C94197"/>
    <w:rsid w:val="00CE04D6"/>
    <w:rsid w:val="00D01A82"/>
    <w:rsid w:val="00D23BAE"/>
    <w:rsid w:val="00D2779F"/>
    <w:rsid w:val="00D27F5F"/>
    <w:rsid w:val="00D35DA2"/>
    <w:rsid w:val="00D935FA"/>
    <w:rsid w:val="00DB28E5"/>
    <w:rsid w:val="00DD785E"/>
    <w:rsid w:val="00DE6CB7"/>
    <w:rsid w:val="00E1704C"/>
    <w:rsid w:val="00E1789C"/>
    <w:rsid w:val="00E30A36"/>
    <w:rsid w:val="00E317C3"/>
    <w:rsid w:val="00E36A71"/>
    <w:rsid w:val="00E41C27"/>
    <w:rsid w:val="00E4769F"/>
    <w:rsid w:val="00E476F1"/>
    <w:rsid w:val="00E57F43"/>
    <w:rsid w:val="00E73B55"/>
    <w:rsid w:val="00E80B78"/>
    <w:rsid w:val="00E81D77"/>
    <w:rsid w:val="00EA2DEB"/>
    <w:rsid w:val="00EC0E8E"/>
    <w:rsid w:val="00EC24C8"/>
    <w:rsid w:val="00ED75BA"/>
    <w:rsid w:val="00EE0A80"/>
    <w:rsid w:val="00EE4B89"/>
    <w:rsid w:val="00EF0473"/>
    <w:rsid w:val="00F138F3"/>
    <w:rsid w:val="00F1554D"/>
    <w:rsid w:val="00F16C25"/>
    <w:rsid w:val="00F21F74"/>
    <w:rsid w:val="00F243F2"/>
    <w:rsid w:val="00F25280"/>
    <w:rsid w:val="00F34A0B"/>
    <w:rsid w:val="00F41C14"/>
    <w:rsid w:val="00F53340"/>
    <w:rsid w:val="00F613C4"/>
    <w:rsid w:val="00F81801"/>
    <w:rsid w:val="00F93AA6"/>
    <w:rsid w:val="00FA17A6"/>
    <w:rsid w:val="00FB6C9B"/>
    <w:rsid w:val="00FF46C8"/>
    <w:rsid w:val="0B0C7351"/>
    <w:rsid w:val="0B640F3B"/>
    <w:rsid w:val="0CE67036"/>
    <w:rsid w:val="151A5ABF"/>
    <w:rsid w:val="1B7E3953"/>
    <w:rsid w:val="1D594678"/>
    <w:rsid w:val="1FEB520E"/>
    <w:rsid w:val="25126DC8"/>
    <w:rsid w:val="27C179A4"/>
    <w:rsid w:val="2EFE0BDB"/>
    <w:rsid w:val="31D125D7"/>
    <w:rsid w:val="349F69BC"/>
    <w:rsid w:val="36B79DD2"/>
    <w:rsid w:val="37294C63"/>
    <w:rsid w:val="37F97DC6"/>
    <w:rsid w:val="3BDE2C0F"/>
    <w:rsid w:val="3DA212CB"/>
    <w:rsid w:val="3DDC47DD"/>
    <w:rsid w:val="3E7F33BB"/>
    <w:rsid w:val="3FC35DD7"/>
    <w:rsid w:val="408D0565"/>
    <w:rsid w:val="40B732E0"/>
    <w:rsid w:val="40C21860"/>
    <w:rsid w:val="494B2817"/>
    <w:rsid w:val="4B5A31E5"/>
    <w:rsid w:val="57BFE6C0"/>
    <w:rsid w:val="57E04765"/>
    <w:rsid w:val="59275C0B"/>
    <w:rsid w:val="5ABE2B34"/>
    <w:rsid w:val="5BA00E0C"/>
    <w:rsid w:val="5D186A5C"/>
    <w:rsid w:val="5E766130"/>
    <w:rsid w:val="5F3C4C84"/>
    <w:rsid w:val="5FEFBFE7"/>
    <w:rsid w:val="61DE64C6"/>
    <w:rsid w:val="62E73159"/>
    <w:rsid w:val="692D4DF9"/>
    <w:rsid w:val="695A66EB"/>
    <w:rsid w:val="6D380807"/>
    <w:rsid w:val="6F73109D"/>
    <w:rsid w:val="739E1491"/>
    <w:rsid w:val="73E9E22D"/>
    <w:rsid w:val="77FF7147"/>
    <w:rsid w:val="7CEA3B1A"/>
    <w:rsid w:val="7EF5ED54"/>
    <w:rsid w:val="9F3D0DDC"/>
    <w:rsid w:val="A7774E84"/>
    <w:rsid w:val="CFFB4469"/>
    <w:rsid w:val="F1FF5D4C"/>
    <w:rsid w:val="F3FFA64B"/>
    <w:rsid w:val="F7D7E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Number 3"/>
    <w:basedOn w:val="1"/>
    <w:qFormat/>
    <w:uiPriority w:val="0"/>
    <w:pPr>
      <w:numPr>
        <w:ilvl w:val="0"/>
        <w:numId w:val="1"/>
      </w:numPr>
    </w:pPr>
  </w:style>
  <w:style w:type="paragraph" w:styleId="3">
    <w:name w:val="Plain Text"/>
    <w:basedOn w:val="1"/>
    <w:unhideWhenUsed/>
    <w:qFormat/>
    <w:uiPriority w:val="99"/>
    <w:rPr>
      <w:rFonts w:ascii="方正书宋_GBK" w:hAnsi="DejaVu Sans"/>
    </w:rPr>
  </w:style>
  <w:style w:type="paragraph" w:styleId="4">
    <w:name w:val="footer"/>
    <w:basedOn w:val="1"/>
    <w:qFormat/>
    <w:uiPriority w:val="0"/>
    <w:pPr>
      <w:tabs>
        <w:tab w:val="center" w:pos="4140"/>
        <w:tab w:val="right" w:pos="8300"/>
      </w:tabs>
      <w:snapToGrid w:val="0"/>
      <w:jc w:val="left"/>
    </w:pPr>
    <w:rPr>
      <w:sz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qFormat/>
    <w:uiPriority w:val="0"/>
    <w:rPr>
      <w:b/>
    </w:rPr>
  </w:style>
  <w:style w:type="character" w:customStyle="1" w:styleId="10">
    <w:name w:val="页眉 字符"/>
    <w:link w:val="5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766</Words>
  <Characters>782</Characters>
  <Lines>41</Lines>
  <Paragraphs>24</Paragraphs>
  <TotalTime>15</TotalTime>
  <ScaleCrop>false</ScaleCrop>
  <LinksUpToDate>false</LinksUpToDate>
  <CharactersWithSpaces>1524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2026-06-08T08:29:00Z</dcterms:created>
  <dc:creator>赵昌平</dc:creator>
  <cp:lastModifiedBy>user</cp:lastModifiedBy>
  <cp:lastPrinted>2026-09-29T15:53:13Z</cp:lastPrinted>
  <dcterms:modified xsi:type="dcterms:W3CDTF">2026-09-29T16:13:07Z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2E429D47D8DA4B6FBBB35D1797DC13C9_13</vt:lpwstr>
  </property>
  <property fmtid="{D5CDD505-2E9C-101B-9397-08002B2CF9AE}" pid="4" name="KSOTemplateDocerSaveRecord">
    <vt:lpwstr>eyJoZGlkIjoiZjJkNDQyOWU4MjYyYzUzN2VkYzJiODMwYmI0NGRmYWIiLCJ1c2VySWQiOiI3MjIzMTg1MTIifQ==</vt:lpwstr>
  </property>
</Properties>
</file>