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7BB" w:rsidRDefault="007347BB" w:rsidP="00D43F73">
      <w:pPr>
        <w:spacing w:line="740" w:lineRule="exact"/>
        <w:jc w:val="center"/>
        <w:rPr>
          <w:rFonts w:ascii="仿宋" w:eastAsia="仿宋" w:hAnsi="仿宋" w:cs="仿宋"/>
          <w:sz w:val="32"/>
          <w:szCs w:val="32"/>
        </w:rPr>
      </w:pPr>
    </w:p>
    <w:p w:rsidR="007347BB" w:rsidRDefault="007347BB" w:rsidP="00D43F73">
      <w:pPr>
        <w:spacing w:line="740" w:lineRule="exact"/>
        <w:jc w:val="center"/>
        <w:rPr>
          <w:rFonts w:ascii="仿宋" w:eastAsia="仿宋" w:hAnsi="仿宋" w:cs="仿宋"/>
          <w:sz w:val="32"/>
          <w:szCs w:val="32"/>
        </w:rPr>
      </w:pPr>
    </w:p>
    <w:p w:rsidR="007347BB" w:rsidRDefault="007347BB" w:rsidP="00D43F73">
      <w:pPr>
        <w:spacing w:line="740" w:lineRule="exact"/>
        <w:jc w:val="center"/>
        <w:rPr>
          <w:rFonts w:ascii="华文中宋" w:eastAsia="华文中宋" w:hAnsi="华文中宋" w:cs="华文中宋"/>
          <w:b/>
          <w:bCs/>
          <w:color w:val="FF0000"/>
          <w:sz w:val="44"/>
          <w:szCs w:val="44"/>
        </w:rPr>
      </w:pPr>
    </w:p>
    <w:p w:rsidR="007347BB" w:rsidRDefault="007347BB" w:rsidP="00D43F73">
      <w:pPr>
        <w:spacing w:line="740" w:lineRule="exact"/>
        <w:jc w:val="center"/>
        <w:rPr>
          <w:rFonts w:ascii="华文中宋" w:eastAsia="华文中宋" w:hAnsi="华文中宋" w:cs="华文中宋"/>
          <w:b/>
          <w:bCs/>
          <w:color w:val="FF0000"/>
          <w:sz w:val="44"/>
          <w:szCs w:val="44"/>
        </w:rPr>
      </w:pPr>
    </w:p>
    <w:p w:rsidR="007347BB" w:rsidRDefault="007347BB" w:rsidP="00D43F73">
      <w:pPr>
        <w:spacing w:line="740" w:lineRule="exact"/>
        <w:jc w:val="center"/>
        <w:rPr>
          <w:rFonts w:ascii="仿宋" w:eastAsia="仿宋" w:hAnsi="仿宋" w:cs="仿宋"/>
          <w:sz w:val="32"/>
          <w:szCs w:val="32"/>
        </w:rPr>
      </w:pPr>
    </w:p>
    <w:p w:rsidR="007347BB" w:rsidRDefault="007347BB" w:rsidP="00D43F73">
      <w:pPr>
        <w:spacing w:line="740" w:lineRule="exact"/>
        <w:jc w:val="center"/>
        <w:rPr>
          <w:rFonts w:ascii="仿宋" w:eastAsia="仿宋" w:hAnsi="仿宋" w:cs="仿宋"/>
          <w:sz w:val="32"/>
          <w:szCs w:val="32"/>
        </w:rPr>
      </w:pPr>
    </w:p>
    <w:p w:rsidR="007347BB" w:rsidRDefault="007347BB" w:rsidP="007347BB">
      <w:pPr>
        <w:spacing w:line="580" w:lineRule="exact"/>
        <w:jc w:val="center"/>
        <w:textAlignment w:val="center"/>
        <w:rPr>
          <w:rStyle w:val="af3"/>
          <w:rFonts w:ascii="方正仿宋简体" w:eastAsia="方正仿宋简体" w:hAnsi="华文中宋" w:cs="华文中宋"/>
          <w:b w:val="0"/>
          <w:color w:val="000000"/>
          <w:sz w:val="32"/>
          <w:szCs w:val="32"/>
        </w:rPr>
      </w:pPr>
      <w:r>
        <w:rPr>
          <w:rStyle w:val="af3"/>
          <w:rFonts w:ascii="方正仿宋简体" w:eastAsia="方正仿宋简体" w:hAnsi="华文中宋" w:cs="华文中宋" w:hint="eastAsia"/>
          <w:b w:val="0"/>
          <w:color w:val="000000"/>
          <w:sz w:val="32"/>
          <w:szCs w:val="32"/>
        </w:rPr>
        <w:t>济自资规发〔2020〕</w:t>
      </w:r>
      <w:r w:rsidR="005464A8">
        <w:rPr>
          <w:rStyle w:val="af3"/>
          <w:rFonts w:ascii="方正仿宋简体" w:eastAsia="方正仿宋简体" w:hAnsi="华文中宋" w:cs="华文中宋" w:hint="eastAsia"/>
          <w:b w:val="0"/>
          <w:color w:val="000000"/>
          <w:sz w:val="32"/>
          <w:szCs w:val="32"/>
        </w:rPr>
        <w:t>4</w:t>
      </w:r>
      <w:r w:rsidR="005464A8">
        <w:rPr>
          <w:rStyle w:val="af3"/>
          <w:rFonts w:ascii="方正仿宋简体" w:eastAsia="方正仿宋简体" w:hAnsi="华文中宋" w:cs="华文中宋"/>
          <w:b w:val="0"/>
          <w:color w:val="000000"/>
          <w:sz w:val="32"/>
          <w:szCs w:val="32"/>
        </w:rPr>
        <w:t>0</w:t>
      </w:r>
      <w:r>
        <w:rPr>
          <w:rStyle w:val="af3"/>
          <w:rFonts w:ascii="方正仿宋简体" w:eastAsia="方正仿宋简体" w:hAnsi="华文中宋" w:cs="华文中宋" w:hint="eastAsia"/>
          <w:b w:val="0"/>
          <w:color w:val="000000"/>
          <w:sz w:val="32"/>
          <w:szCs w:val="32"/>
        </w:rPr>
        <w:t>号</w:t>
      </w:r>
    </w:p>
    <w:p w:rsidR="007347BB" w:rsidRDefault="007347BB" w:rsidP="007347BB">
      <w:pPr>
        <w:spacing w:line="500" w:lineRule="exact"/>
        <w:rPr>
          <w:rFonts w:ascii="方正小标宋简体" w:eastAsia="方正小标宋简体"/>
          <w:sz w:val="44"/>
          <w:szCs w:val="44"/>
        </w:rPr>
      </w:pPr>
    </w:p>
    <w:p w:rsidR="007347BB" w:rsidRDefault="007347BB" w:rsidP="007347BB">
      <w:pPr>
        <w:spacing w:line="500" w:lineRule="exact"/>
        <w:rPr>
          <w:rFonts w:ascii="方正小标宋简体" w:eastAsia="方正小标宋简体"/>
          <w:sz w:val="44"/>
          <w:szCs w:val="44"/>
        </w:rPr>
      </w:pPr>
    </w:p>
    <w:p w:rsidR="00DA44CC" w:rsidRDefault="00C53A1B" w:rsidP="007347BB">
      <w:pPr>
        <w:adjustRightInd w:val="0"/>
        <w:snapToGrid w:val="0"/>
        <w:spacing w:line="500" w:lineRule="exact"/>
        <w:jc w:val="center"/>
        <w:rPr>
          <w:rFonts w:ascii="方正小标宋简体" w:eastAsia="方正小标宋简体" w:hAnsi="宋体" w:cs="方正小标宋简体"/>
          <w:sz w:val="44"/>
          <w:szCs w:val="44"/>
        </w:rPr>
      </w:pPr>
      <w:r>
        <w:rPr>
          <w:rFonts w:ascii="方正小标宋简体" w:eastAsia="方正小标宋简体" w:hAnsi="宋体" w:cs="方正小标宋简体" w:hint="eastAsia"/>
          <w:sz w:val="44"/>
          <w:szCs w:val="44"/>
        </w:rPr>
        <w:t>济宁市自然资源和规划局</w:t>
      </w:r>
    </w:p>
    <w:p w:rsidR="00DA44CC" w:rsidRDefault="00C53A1B" w:rsidP="007347BB">
      <w:pPr>
        <w:adjustRightInd w:val="0"/>
        <w:snapToGrid w:val="0"/>
        <w:spacing w:line="500" w:lineRule="exact"/>
        <w:jc w:val="center"/>
        <w:rPr>
          <w:rFonts w:eastAsia="方正小标宋简体" w:cs="方正小标宋简体"/>
          <w:sz w:val="44"/>
          <w:szCs w:val="44"/>
        </w:rPr>
      </w:pPr>
      <w:r>
        <w:rPr>
          <w:rFonts w:ascii="方正小标宋简体" w:eastAsia="方正小标宋简体" w:hAnsi="宋体" w:cs="方正小标宋简体" w:hint="eastAsia"/>
          <w:sz w:val="44"/>
          <w:szCs w:val="44"/>
        </w:rPr>
        <w:t>关于印发《</w:t>
      </w:r>
      <w:r>
        <w:rPr>
          <w:rFonts w:eastAsia="方正小标宋简体" w:cs="方正小标宋简体" w:hint="eastAsia"/>
          <w:sz w:val="44"/>
          <w:szCs w:val="44"/>
        </w:rPr>
        <w:t>济宁市中心城区控制性</w:t>
      </w:r>
    </w:p>
    <w:p w:rsidR="00DA44CC" w:rsidRDefault="00C53A1B" w:rsidP="007347BB">
      <w:pPr>
        <w:adjustRightInd w:val="0"/>
        <w:snapToGrid w:val="0"/>
        <w:spacing w:line="500" w:lineRule="exact"/>
        <w:jc w:val="center"/>
        <w:rPr>
          <w:rFonts w:ascii="方正小标宋简体" w:eastAsia="方正小标宋简体" w:hAnsi="宋体" w:cs="方正小标宋简体"/>
          <w:sz w:val="44"/>
          <w:szCs w:val="44"/>
        </w:rPr>
      </w:pPr>
      <w:r>
        <w:rPr>
          <w:rFonts w:eastAsia="方正小标宋简体" w:cs="方正小标宋简体" w:hint="eastAsia"/>
          <w:sz w:val="44"/>
          <w:szCs w:val="44"/>
        </w:rPr>
        <w:t>详细规划管理规定（试行）</w:t>
      </w:r>
      <w:r>
        <w:rPr>
          <w:rFonts w:ascii="方正小标宋简体" w:eastAsia="方正小标宋简体" w:hAnsi="宋体" w:cs="方正小标宋简体" w:hint="eastAsia"/>
          <w:sz w:val="44"/>
          <w:szCs w:val="44"/>
        </w:rPr>
        <w:t>》《济宁市中心城区</w:t>
      </w:r>
    </w:p>
    <w:p w:rsidR="00DA44CC" w:rsidRDefault="00C53A1B" w:rsidP="007347BB">
      <w:pPr>
        <w:adjustRightInd w:val="0"/>
        <w:snapToGrid w:val="0"/>
        <w:spacing w:line="500" w:lineRule="exact"/>
        <w:jc w:val="center"/>
        <w:rPr>
          <w:rFonts w:eastAsia="方正小标宋简体" w:cs="方正小标宋简体"/>
          <w:sz w:val="44"/>
          <w:szCs w:val="44"/>
        </w:rPr>
      </w:pPr>
      <w:r>
        <w:rPr>
          <w:rFonts w:ascii="方正小标宋简体" w:eastAsia="方正小标宋简体" w:hAnsi="宋体" w:cs="方正小标宋简体" w:hint="eastAsia"/>
          <w:sz w:val="44"/>
          <w:szCs w:val="44"/>
        </w:rPr>
        <w:t>控制性详细规划执行通则（试行）》的通知</w:t>
      </w:r>
    </w:p>
    <w:p w:rsidR="00DA44CC" w:rsidRDefault="00DA44CC" w:rsidP="007347BB">
      <w:pPr>
        <w:adjustRightInd w:val="0"/>
        <w:snapToGrid w:val="0"/>
        <w:spacing w:line="500" w:lineRule="exact"/>
        <w:ind w:firstLineChars="200" w:firstLine="640"/>
        <w:jc w:val="center"/>
        <w:rPr>
          <w:rFonts w:ascii="仿宋_GB2312" w:eastAsia="仿宋_GB2312" w:cs="Times New Roman"/>
          <w:sz w:val="32"/>
          <w:szCs w:val="32"/>
        </w:rPr>
      </w:pPr>
    </w:p>
    <w:p w:rsidR="00DA44CC" w:rsidRDefault="00B84BFC" w:rsidP="00D12C4C">
      <w:pPr>
        <w:adjustRightInd w:val="0"/>
        <w:snapToGrid w:val="0"/>
        <w:spacing w:line="500" w:lineRule="exact"/>
        <w:rPr>
          <w:rFonts w:ascii="方正仿宋简体" w:eastAsia="方正仿宋简体"/>
          <w:sz w:val="32"/>
          <w:szCs w:val="32"/>
        </w:rPr>
      </w:pPr>
      <w:r w:rsidRPr="00B84BFC">
        <w:rPr>
          <w:rFonts w:ascii="方正仿宋简体" w:eastAsia="方正仿宋简体" w:hint="eastAsia"/>
          <w:sz w:val="32"/>
          <w:szCs w:val="32"/>
        </w:rPr>
        <w:t>各区自然资源和规划主管部门</w:t>
      </w:r>
      <w:r w:rsidR="007A6E6D">
        <w:rPr>
          <w:rFonts w:ascii="方正仿宋简体" w:eastAsia="方正仿宋简体" w:hint="eastAsia"/>
          <w:sz w:val="32"/>
          <w:szCs w:val="32"/>
        </w:rPr>
        <w:t>、市局各科室、直属单位</w:t>
      </w:r>
      <w:r w:rsidR="00C53A1B">
        <w:rPr>
          <w:rFonts w:ascii="方正仿宋简体" w:eastAsia="方正仿宋简体" w:hint="eastAsia"/>
          <w:sz w:val="32"/>
          <w:szCs w:val="32"/>
        </w:rPr>
        <w:t>：</w:t>
      </w:r>
    </w:p>
    <w:p w:rsidR="00DA44CC" w:rsidRDefault="00C53A1B" w:rsidP="00D12C4C">
      <w:pPr>
        <w:adjustRightInd w:val="0"/>
        <w:snapToGrid w:val="0"/>
        <w:spacing w:line="500" w:lineRule="exact"/>
        <w:ind w:firstLineChars="200" w:firstLine="640"/>
        <w:rPr>
          <w:rFonts w:ascii="方正仿宋简体" w:eastAsia="方正仿宋简体" w:cs="仿宋_GB2312"/>
          <w:sz w:val="32"/>
          <w:szCs w:val="32"/>
        </w:rPr>
      </w:pPr>
      <w:r>
        <w:rPr>
          <w:rFonts w:ascii="方正仿宋简体" w:eastAsia="方正仿宋简体" w:cs="仿宋_GB2312" w:hint="eastAsia"/>
          <w:sz w:val="32"/>
          <w:szCs w:val="32"/>
        </w:rPr>
        <w:t>现将《济宁市中心城区控制性详细规划管理规定（试行）》济宁市中心城区控制性详细规划执行通则（试行）》印发给你们，请遵照执行。</w:t>
      </w:r>
    </w:p>
    <w:p w:rsidR="00D12C4C" w:rsidRDefault="00D12C4C" w:rsidP="00D12C4C">
      <w:pPr>
        <w:adjustRightInd w:val="0"/>
        <w:snapToGrid w:val="0"/>
        <w:spacing w:line="500" w:lineRule="exact"/>
        <w:ind w:firstLineChars="200" w:firstLine="640"/>
        <w:rPr>
          <w:rFonts w:ascii="方正仿宋简体" w:eastAsia="方正仿宋简体"/>
          <w:sz w:val="32"/>
          <w:szCs w:val="32"/>
        </w:rPr>
      </w:pPr>
    </w:p>
    <w:p w:rsidR="00DA44CC" w:rsidRDefault="00C53A1B" w:rsidP="007347BB">
      <w:pPr>
        <w:wordWrap w:val="0"/>
        <w:adjustRightInd w:val="0"/>
        <w:snapToGrid w:val="0"/>
        <w:spacing w:line="520" w:lineRule="exact"/>
        <w:jc w:val="right"/>
        <w:rPr>
          <w:rFonts w:ascii="方正仿宋简体" w:eastAsia="方正仿宋简体" w:cs="仿宋_GB2312"/>
          <w:sz w:val="32"/>
          <w:szCs w:val="32"/>
        </w:rPr>
      </w:pPr>
      <w:r>
        <w:rPr>
          <w:rFonts w:ascii="方正仿宋简体" w:eastAsia="方正仿宋简体" w:cs="仿宋_GB2312" w:hint="eastAsia"/>
          <w:sz w:val="32"/>
          <w:szCs w:val="32"/>
        </w:rPr>
        <w:t>济宁市自然资源和规划局</w:t>
      </w:r>
      <w:r w:rsidR="007347BB">
        <w:rPr>
          <w:rFonts w:ascii="方正仿宋简体" w:eastAsia="方正仿宋简体" w:cs="仿宋_GB2312" w:hint="eastAsia"/>
          <w:sz w:val="32"/>
          <w:szCs w:val="32"/>
        </w:rPr>
        <w:t xml:space="preserve">　　</w:t>
      </w:r>
    </w:p>
    <w:p w:rsidR="00DA44CC" w:rsidRDefault="00C53A1B" w:rsidP="007347BB">
      <w:pPr>
        <w:wordWrap w:val="0"/>
        <w:adjustRightInd w:val="0"/>
        <w:snapToGrid w:val="0"/>
        <w:spacing w:line="520" w:lineRule="exact"/>
        <w:jc w:val="right"/>
        <w:rPr>
          <w:rFonts w:ascii="方正仿宋简体" w:eastAsia="方正仿宋简体" w:cs="仿宋_GB2312"/>
          <w:sz w:val="32"/>
          <w:szCs w:val="32"/>
        </w:rPr>
      </w:pPr>
      <w:r>
        <w:rPr>
          <w:rFonts w:ascii="方正仿宋简体" w:eastAsia="方正仿宋简体" w:cs="仿宋_GB2312" w:hint="eastAsia"/>
          <w:sz w:val="32"/>
          <w:szCs w:val="32"/>
        </w:rPr>
        <w:t>20</w:t>
      </w:r>
      <w:r w:rsidR="007A6E6D">
        <w:rPr>
          <w:rFonts w:ascii="方正仿宋简体" w:eastAsia="方正仿宋简体" w:cs="仿宋_GB2312"/>
          <w:sz w:val="32"/>
          <w:szCs w:val="32"/>
        </w:rPr>
        <w:t>20</w:t>
      </w:r>
      <w:r>
        <w:rPr>
          <w:rFonts w:ascii="方正仿宋简体" w:eastAsia="方正仿宋简体" w:cs="仿宋_GB2312" w:hint="eastAsia"/>
          <w:sz w:val="32"/>
          <w:szCs w:val="32"/>
        </w:rPr>
        <w:t>年</w:t>
      </w:r>
      <w:r>
        <w:rPr>
          <w:rFonts w:ascii="方正仿宋简体" w:eastAsia="方正仿宋简体" w:cs="仿宋_GB2312"/>
          <w:sz w:val="32"/>
          <w:szCs w:val="32"/>
        </w:rPr>
        <w:t>6</w:t>
      </w:r>
      <w:r>
        <w:rPr>
          <w:rFonts w:ascii="方正仿宋简体" w:eastAsia="方正仿宋简体" w:cs="仿宋_GB2312" w:hint="eastAsia"/>
          <w:sz w:val="32"/>
          <w:szCs w:val="32"/>
        </w:rPr>
        <w:t>月</w:t>
      </w:r>
      <w:r w:rsidR="00A035B7">
        <w:rPr>
          <w:rFonts w:ascii="方正仿宋简体" w:eastAsia="方正仿宋简体" w:cs="仿宋_GB2312"/>
          <w:sz w:val="32"/>
          <w:szCs w:val="32"/>
        </w:rPr>
        <w:t>20</w:t>
      </w:r>
      <w:r>
        <w:rPr>
          <w:rFonts w:ascii="方正仿宋简体" w:eastAsia="方正仿宋简体" w:cs="仿宋_GB2312" w:hint="eastAsia"/>
          <w:sz w:val="32"/>
          <w:szCs w:val="32"/>
        </w:rPr>
        <w:t>日</w:t>
      </w:r>
      <w:r w:rsidR="007347BB">
        <w:rPr>
          <w:rFonts w:ascii="方正仿宋简体" w:eastAsia="方正仿宋简体" w:cs="仿宋_GB2312" w:hint="eastAsia"/>
          <w:sz w:val="32"/>
          <w:szCs w:val="32"/>
        </w:rPr>
        <w:t xml:space="preserve">　　　　</w:t>
      </w:r>
    </w:p>
    <w:p w:rsidR="00DA44CC" w:rsidRDefault="00DA44CC" w:rsidP="00663DD0">
      <w:pPr>
        <w:adjustRightInd w:val="0"/>
        <w:snapToGrid w:val="0"/>
        <w:spacing w:line="560" w:lineRule="exact"/>
        <w:rPr>
          <w:rFonts w:ascii="方正仿宋简体" w:eastAsia="方正仿宋简体" w:cs="Times New Roman"/>
          <w:sz w:val="32"/>
          <w:szCs w:val="32"/>
        </w:rPr>
      </w:pPr>
    </w:p>
    <w:p w:rsidR="00DA44CC" w:rsidRDefault="00C53A1B">
      <w:pPr>
        <w:adjustRightInd w:val="0"/>
        <w:snapToGrid w:val="0"/>
        <w:spacing w:line="600" w:lineRule="exact"/>
        <w:jc w:val="center"/>
        <w:rPr>
          <w:rFonts w:ascii="方正小标宋简体" w:eastAsia="方正小标宋简体" w:hAnsi="宋体" w:cs="方正小标宋简体"/>
          <w:color w:val="000000"/>
          <w:sz w:val="44"/>
          <w:szCs w:val="44"/>
        </w:rPr>
      </w:pPr>
      <w:bookmarkStart w:id="0" w:name="_Toc9428191"/>
      <w:r>
        <w:rPr>
          <w:rFonts w:ascii="方正小标宋简体" w:eastAsia="方正小标宋简体" w:hAnsi="宋体" w:cs="方正小标宋简体" w:hint="eastAsia"/>
          <w:color w:val="000000"/>
          <w:sz w:val="44"/>
          <w:szCs w:val="44"/>
        </w:rPr>
        <w:lastRenderedPageBreak/>
        <w:t>济宁市中心城区控制性详细规划管理规定</w:t>
      </w:r>
    </w:p>
    <w:p w:rsidR="00DA44CC" w:rsidRDefault="00C53A1B">
      <w:pPr>
        <w:adjustRightInd w:val="0"/>
        <w:snapToGrid w:val="0"/>
        <w:spacing w:line="600" w:lineRule="exact"/>
        <w:jc w:val="center"/>
        <w:rPr>
          <w:rFonts w:ascii="方正小标宋简体" w:eastAsia="方正小标宋简体" w:hAnsi="宋体" w:cs="方正小标宋简体"/>
          <w:color w:val="000000"/>
          <w:sz w:val="44"/>
          <w:szCs w:val="44"/>
        </w:rPr>
      </w:pPr>
      <w:r>
        <w:rPr>
          <w:rFonts w:ascii="方正小标宋简体" w:eastAsia="方正小标宋简体" w:hAnsi="宋体" w:cs="方正小标宋简体" w:hint="eastAsia"/>
          <w:color w:val="000000"/>
          <w:sz w:val="44"/>
          <w:szCs w:val="44"/>
        </w:rPr>
        <w:t>（试行）</w:t>
      </w:r>
      <w:bookmarkEnd w:id="0"/>
    </w:p>
    <w:p w:rsidR="00DA44CC" w:rsidRDefault="00DA44CC">
      <w:pPr>
        <w:adjustRightInd w:val="0"/>
        <w:snapToGrid w:val="0"/>
        <w:spacing w:line="600" w:lineRule="exact"/>
        <w:ind w:firstLineChars="200" w:firstLine="640"/>
        <w:rPr>
          <w:rFonts w:ascii="方正黑体简体" w:eastAsia="方正黑体简体" w:hAnsi="宋体" w:cs="方正小标宋简体"/>
          <w:color w:val="000000"/>
          <w:sz w:val="32"/>
          <w:szCs w:val="32"/>
        </w:rPr>
      </w:pPr>
      <w:bookmarkStart w:id="1" w:name="_Toc104974825"/>
    </w:p>
    <w:p w:rsidR="00DA44CC" w:rsidRDefault="00C53A1B">
      <w:pPr>
        <w:adjustRightInd w:val="0"/>
        <w:snapToGrid w:val="0"/>
        <w:spacing w:line="600" w:lineRule="exact"/>
        <w:jc w:val="center"/>
        <w:rPr>
          <w:rFonts w:ascii="方正黑体简体" w:eastAsia="方正黑体简体" w:hAnsi="宋体" w:cs="方正小标宋简体"/>
          <w:color w:val="000000"/>
          <w:sz w:val="32"/>
          <w:szCs w:val="32"/>
        </w:rPr>
      </w:pPr>
      <w:r>
        <w:rPr>
          <w:rFonts w:ascii="方正黑体简体" w:eastAsia="方正黑体简体" w:hAnsi="宋体" w:cs="方正小标宋简体" w:hint="eastAsia"/>
          <w:color w:val="000000"/>
          <w:sz w:val="32"/>
          <w:szCs w:val="32"/>
        </w:rPr>
        <w:t>第一章  总  则</w:t>
      </w:r>
      <w:bookmarkEnd w:id="1"/>
    </w:p>
    <w:p w:rsidR="00DA44CC" w:rsidRDefault="00DA44CC">
      <w:pPr>
        <w:adjustRightInd w:val="0"/>
        <w:snapToGrid w:val="0"/>
        <w:spacing w:line="600" w:lineRule="exact"/>
        <w:rPr>
          <w:rFonts w:ascii="方正仿宋简体" w:eastAsia="方正仿宋简体" w:hAnsi="宋体" w:cs="仿宋_GB2312"/>
          <w:color w:val="000000"/>
          <w:sz w:val="32"/>
          <w:szCs w:val="32"/>
        </w:rPr>
      </w:pPr>
    </w:p>
    <w:p w:rsidR="00DA44CC" w:rsidRDefault="00C53A1B" w:rsidP="007347BB">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第一条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为了规范控制性详细规划的管理，保障城市规划的有效实施，根据《中华人民共和国城乡规划法》《城市、镇控制性详细规划编制审批办法》《山东省城乡规划条例》《山东省控制性详细规划编制技术导则(试行)》《济宁市城乡规划管理办法》等法律、法规、规范，结合本市实际，制定本规定。</w:t>
      </w:r>
    </w:p>
    <w:p w:rsidR="00DA44CC" w:rsidRDefault="00C53A1B" w:rsidP="007347BB">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第二条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本规定适用于济宁中心城区控制性详细规划的编制、审批、变更、实施等管理工作。其他市（县）、镇可参照执行。</w:t>
      </w:r>
    </w:p>
    <w:p w:rsidR="00DA44CC" w:rsidRDefault="00C53A1B" w:rsidP="007347BB">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第三条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任何单位和个人都应当遵守经依法批准并公布的控制性详细规划，服从规划管理，并有权就涉及其利害关系的建设活动是否符合控制性详细规划要求向自然资源和规划主管部门查询，有权向自然资源和规划主管部门或者其他有关部门举报或者控告违反控制性详细规划的行为。</w:t>
      </w:r>
    </w:p>
    <w:p w:rsidR="00DA44CC" w:rsidRDefault="00C53A1B" w:rsidP="007347BB">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第四条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各级人民政府应当将控制性详细规划编制和管理经费纳入本级财政预算。</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第五条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市自然资源和规划主管部门、各区人民政府（管委会）应当加强对控制性详细规划实施情况和本规定执行情况的监</w:t>
      </w:r>
      <w:r>
        <w:rPr>
          <w:rFonts w:ascii="方正仿宋简体" w:eastAsia="方正仿宋简体" w:hAnsi="宋体" w:cs="仿宋_GB2312" w:hint="eastAsia"/>
          <w:color w:val="000000"/>
          <w:sz w:val="32"/>
          <w:szCs w:val="32"/>
        </w:rPr>
        <w:lastRenderedPageBreak/>
        <w:t>督检查。</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第六条</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市自然资源和规划主管部门按照法定职责负责控制性详细规划组织编制和日常管理工作。其他市级有关行政主管部门按照职责配合控制性详细规划的编制和审查工作。</w:t>
      </w:r>
    </w:p>
    <w:p w:rsidR="00DA44CC" w:rsidRDefault="00DA44CC">
      <w:pPr>
        <w:adjustRightInd w:val="0"/>
        <w:snapToGrid w:val="0"/>
        <w:spacing w:line="600" w:lineRule="exact"/>
        <w:jc w:val="center"/>
        <w:rPr>
          <w:rFonts w:ascii="方正黑体简体" w:eastAsia="方正黑体简体" w:hAnsi="宋体" w:cs="方正小标宋简体"/>
          <w:color w:val="000000"/>
          <w:sz w:val="32"/>
          <w:szCs w:val="32"/>
        </w:rPr>
      </w:pPr>
    </w:p>
    <w:p w:rsidR="00DA44CC" w:rsidRDefault="00C53A1B">
      <w:pPr>
        <w:adjustRightInd w:val="0"/>
        <w:snapToGrid w:val="0"/>
        <w:spacing w:line="600" w:lineRule="exact"/>
        <w:jc w:val="center"/>
        <w:rPr>
          <w:rFonts w:ascii="方正黑体简体" w:eastAsia="方正黑体简体" w:hAnsi="宋体" w:cs="方正小标宋简体"/>
          <w:color w:val="000000"/>
          <w:sz w:val="32"/>
          <w:szCs w:val="32"/>
        </w:rPr>
      </w:pPr>
      <w:r>
        <w:rPr>
          <w:rFonts w:ascii="方正黑体简体" w:eastAsia="方正黑体简体" w:hAnsi="宋体" w:cs="方正小标宋简体" w:hint="eastAsia"/>
          <w:color w:val="000000"/>
          <w:sz w:val="32"/>
          <w:szCs w:val="32"/>
        </w:rPr>
        <w:t>第二章  控制性详细规划的编制与审批</w:t>
      </w:r>
    </w:p>
    <w:p w:rsidR="00DA44CC" w:rsidRDefault="00DA44CC">
      <w:pPr>
        <w:adjustRightInd w:val="0"/>
        <w:snapToGrid w:val="0"/>
        <w:spacing w:line="600" w:lineRule="exact"/>
        <w:ind w:firstLineChars="200" w:firstLine="640"/>
        <w:rPr>
          <w:rFonts w:ascii="方正黑体简体" w:eastAsia="方正黑体简体" w:hAnsi="宋体" w:cs="黑体"/>
          <w:color w:val="000000"/>
          <w:sz w:val="32"/>
          <w:szCs w:val="32"/>
        </w:rPr>
      </w:pP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 xml:space="preserve">第七条 </w:t>
      </w:r>
      <w:r>
        <w:rPr>
          <w:rFonts w:ascii="方正黑体简体" w:eastAsia="方正黑体简体" w:hAnsi="宋体" w:cs="黑体"/>
          <w:color w:val="000000"/>
          <w:sz w:val="32"/>
          <w:szCs w:val="32"/>
        </w:rPr>
        <w:t xml:space="preserve"> </w:t>
      </w:r>
      <w:r>
        <w:rPr>
          <w:rFonts w:ascii="方正仿宋简体" w:eastAsia="方正仿宋简体" w:hAnsi="宋体" w:cs="仿宋_GB2312" w:hint="eastAsia"/>
          <w:color w:val="000000"/>
          <w:sz w:val="32"/>
          <w:szCs w:val="32"/>
        </w:rPr>
        <w:t>编制控制性详细规划应当符合法律、法规规定，遵守国家、省、市有关技术规范和标准，采用符合有关规定的基础资料；应当落实总体规划、专项规划、实施性规划等相关规划的要求。</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第八条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控制性详细规划编制分为片区控制性详细规划（以下简称“片区控规”）和街区控制性详细规划（以下简称“街区控规”）两种方式。</w:t>
      </w:r>
      <w:r w:rsidR="00797C55" w:rsidRPr="007852A6">
        <w:rPr>
          <w:rFonts w:ascii="方正仿宋简体" w:eastAsia="方正仿宋简体" w:hAnsi="宋体" w:cs="仿宋_GB2312" w:hint="eastAsia"/>
          <w:sz w:val="32"/>
          <w:szCs w:val="32"/>
        </w:rPr>
        <w:t>街区控规是</w:t>
      </w:r>
      <w:r w:rsidR="00797C55" w:rsidRPr="007852A6">
        <w:rPr>
          <w:rFonts w:ascii="方正仿宋简体" w:eastAsia="方正仿宋简体" w:hAnsi="宋体" w:cs="仿宋_GB2312"/>
          <w:sz w:val="32"/>
          <w:szCs w:val="32"/>
        </w:rPr>
        <w:t>片区控规的深化细化</w:t>
      </w:r>
      <w:r w:rsidR="00797C55" w:rsidRPr="007852A6">
        <w:rPr>
          <w:rFonts w:ascii="方正仿宋简体" w:eastAsia="方正仿宋简体" w:hAnsi="宋体" w:cs="仿宋_GB2312" w:hint="eastAsia"/>
          <w:sz w:val="32"/>
          <w:szCs w:val="32"/>
        </w:rPr>
        <w:t>。</w:t>
      </w:r>
      <w:r w:rsidRPr="007852A6">
        <w:rPr>
          <w:rFonts w:ascii="方正仿宋简体" w:eastAsia="方正仿宋简体" w:hAnsi="宋体" w:cs="仿宋_GB2312" w:hint="eastAsia"/>
          <w:sz w:val="32"/>
          <w:szCs w:val="32"/>
        </w:rPr>
        <w:t>控制性详细规划组织编制机关应当合理划分片区控规编制单元，实</w:t>
      </w:r>
      <w:r>
        <w:rPr>
          <w:rFonts w:ascii="方正仿宋简体" w:eastAsia="方正仿宋简体" w:hAnsi="宋体" w:cs="仿宋_GB2312" w:hint="eastAsia"/>
          <w:color w:val="000000"/>
          <w:sz w:val="32"/>
          <w:szCs w:val="32"/>
        </w:rPr>
        <w:t>现片区控规全覆盖，并根据规划管理需要和近期建设计划，适时编制街区控规。</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 xml:space="preserve">第九条 </w:t>
      </w:r>
      <w:r>
        <w:rPr>
          <w:rFonts w:ascii="方正黑体简体" w:eastAsia="方正黑体简体" w:hAnsi="宋体" w:cs="黑体"/>
          <w:color w:val="000000"/>
          <w:sz w:val="32"/>
          <w:szCs w:val="32"/>
        </w:rPr>
        <w:t xml:space="preserve"> </w:t>
      </w:r>
      <w:r>
        <w:rPr>
          <w:rFonts w:ascii="方正仿宋简体" w:eastAsia="方正仿宋简体" w:hAnsi="宋体" w:cs="仿宋_GB2312" w:hint="eastAsia"/>
          <w:color w:val="000000"/>
          <w:sz w:val="32"/>
          <w:szCs w:val="32"/>
        </w:rPr>
        <w:t>片区控规应按照“总体控制、总量控制、重点控制”的原则，突出对城市建设的引领作用，落实总体规划强制性内容。街区控规应按照“定性、定量、定位”的原则，突出地块规划管控的适用性、灵活性和精细化，落实总体规划强制性内容和片区</w:t>
      </w:r>
      <w:r>
        <w:rPr>
          <w:rFonts w:ascii="方正仿宋简体" w:eastAsia="方正仿宋简体" w:hAnsi="宋体" w:cs="仿宋_GB2312" w:hint="eastAsia"/>
          <w:color w:val="000000"/>
          <w:sz w:val="32"/>
          <w:szCs w:val="32"/>
        </w:rPr>
        <w:lastRenderedPageBreak/>
        <w:t>控规相关控制要求。</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第十条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片区控规和街区控规均包含刚性控制内容和弹性引导内容。</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第十一条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片区的刚性控制内容包括：</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（一）片区总体控制内容，包括主导功能、建设用地边界；公共中心、道路网络、绿地系统的布局；重要景观、功能廊道走向；基准容积率等。</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（二）片区总量控制内容，包括建设用地总面积、基准容积率、地上总建筑面积；公益性公共服务设施、公用设施、各类绿地总规模；干路网密度，支路网密度（下限）。</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（三）“六线”重点控制内容，包括：</w:t>
      </w:r>
    </w:p>
    <w:p w:rsidR="00DA44CC" w:rsidRPr="007852A6" w:rsidRDefault="00C53A1B">
      <w:pPr>
        <w:adjustRightInd w:val="0"/>
        <w:snapToGrid w:val="0"/>
        <w:spacing w:line="600" w:lineRule="exact"/>
        <w:ind w:firstLineChars="200" w:firstLine="640"/>
        <w:rPr>
          <w:rFonts w:ascii="方正仿宋简体" w:eastAsia="方正仿宋简体" w:hAnsi="宋体" w:cs="仿宋_GB2312"/>
          <w:sz w:val="32"/>
          <w:szCs w:val="32"/>
        </w:rPr>
      </w:pPr>
      <w:r w:rsidRPr="007852A6">
        <w:rPr>
          <w:rFonts w:ascii="方正仿宋简体" w:eastAsia="方正仿宋简体" w:hAnsi="宋体" w:cs="仿宋_GB2312" w:hint="eastAsia"/>
          <w:sz w:val="32"/>
          <w:szCs w:val="32"/>
        </w:rPr>
        <w:t>1</w:t>
      </w:r>
      <w:r w:rsidRPr="007852A6">
        <w:rPr>
          <w:rFonts w:ascii="方正仿宋简体" w:eastAsia="方正仿宋简体" w:hAnsi="宋体" w:cs="仿宋_GB2312"/>
          <w:sz w:val="32"/>
          <w:szCs w:val="32"/>
        </w:rPr>
        <w:t>.</w:t>
      </w:r>
      <w:r w:rsidR="00797C55" w:rsidRPr="007852A6">
        <w:rPr>
          <w:rFonts w:ascii="方正仿宋简体" w:eastAsia="方正仿宋简体" w:hAnsi="宋体" w:cs="仿宋_GB2312" w:hint="eastAsia"/>
          <w:sz w:val="32"/>
          <w:szCs w:val="32"/>
        </w:rPr>
        <w:t>城市橙线</w:t>
      </w:r>
      <w:r w:rsidRPr="007852A6">
        <w:rPr>
          <w:rFonts w:ascii="方正仿宋简体" w:eastAsia="方正仿宋简体" w:hAnsi="宋体" w:cs="仿宋_GB2312" w:hint="eastAsia"/>
          <w:sz w:val="32"/>
          <w:szCs w:val="32"/>
        </w:rPr>
        <w:t>中的现状保留或已明确建设的设施用地界线；规划新建或扩建的各类设施等级、规模。</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sidRPr="007852A6">
        <w:rPr>
          <w:rFonts w:ascii="方正仿宋简体" w:eastAsia="方正仿宋简体" w:hAnsi="宋体" w:cs="仿宋_GB2312" w:hint="eastAsia"/>
          <w:sz w:val="32"/>
          <w:szCs w:val="32"/>
        </w:rPr>
        <w:t>2</w:t>
      </w:r>
      <w:r w:rsidRPr="007852A6">
        <w:rPr>
          <w:rFonts w:ascii="方正仿宋简体" w:eastAsia="方正仿宋简体" w:hAnsi="宋体" w:cs="仿宋_GB2312"/>
          <w:sz w:val="32"/>
          <w:szCs w:val="32"/>
        </w:rPr>
        <w:t>.</w:t>
      </w:r>
      <w:r w:rsidRPr="007852A6">
        <w:rPr>
          <w:rFonts w:ascii="方正仿宋简体" w:eastAsia="方正仿宋简体" w:hAnsi="宋体" w:cs="仿宋_GB2312" w:hint="eastAsia"/>
          <w:sz w:val="32"/>
          <w:szCs w:val="32"/>
        </w:rPr>
        <w:t>道路用地控制线中的已按规划实施的公路、铁路、城市道路用地界线；规划新建或</w:t>
      </w:r>
      <w:r>
        <w:rPr>
          <w:rFonts w:ascii="方正仿宋简体" w:eastAsia="方正仿宋简体" w:hAnsi="宋体" w:cs="仿宋_GB2312" w:hint="eastAsia"/>
          <w:color w:val="000000"/>
          <w:sz w:val="32"/>
          <w:szCs w:val="32"/>
        </w:rPr>
        <w:t>扩建公路、铁路、城市次干路及以上道路的等级和走向。</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w:t>
      </w:r>
      <w:r>
        <w:rPr>
          <w:rFonts w:ascii="方正仿宋简体" w:eastAsia="方正仿宋简体" w:hAnsi="宋体" w:cs="仿宋_GB2312"/>
          <w:color w:val="000000"/>
          <w:sz w:val="32"/>
          <w:szCs w:val="32"/>
        </w:rPr>
        <w:t>.</w:t>
      </w:r>
      <w:r>
        <w:rPr>
          <w:rFonts w:ascii="方正仿宋简体" w:eastAsia="方正仿宋简体" w:hAnsi="宋体" w:cs="仿宋_GB2312" w:hint="eastAsia"/>
          <w:color w:val="000000"/>
          <w:sz w:val="32"/>
          <w:szCs w:val="32"/>
        </w:rPr>
        <w:t>基础设施用地控制线中的已明确建设或现状保留的市政交通设施的位置及用地规模；规划新建或扩建市政交通设施的等级、规模、现状高压输送管线的走向和走廊宽度。</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4</w:t>
      </w:r>
      <w:r>
        <w:rPr>
          <w:rFonts w:ascii="方正仿宋简体" w:eastAsia="方正仿宋简体" w:hAnsi="宋体" w:cs="仿宋_GB2312"/>
          <w:color w:val="000000"/>
          <w:sz w:val="32"/>
          <w:szCs w:val="32"/>
        </w:rPr>
        <w:t>.</w:t>
      </w:r>
      <w:r>
        <w:rPr>
          <w:rFonts w:ascii="方正仿宋简体" w:eastAsia="方正仿宋简体" w:hAnsi="宋体" w:cs="仿宋_GB2312" w:hint="eastAsia"/>
          <w:color w:val="000000"/>
          <w:sz w:val="32"/>
          <w:szCs w:val="32"/>
        </w:rPr>
        <w:t>各类绿地范围控制线中的现状保留、已划定绿线或已明确建设的各类绿地界线；规划新建或扩建各类绿地的等级、规模。</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lastRenderedPageBreak/>
        <w:t>5</w:t>
      </w:r>
      <w:r>
        <w:rPr>
          <w:rFonts w:ascii="方正仿宋简体" w:eastAsia="方正仿宋简体" w:hAnsi="宋体" w:cs="仿宋_GB2312"/>
          <w:color w:val="000000"/>
          <w:sz w:val="32"/>
          <w:szCs w:val="32"/>
        </w:rPr>
        <w:t>.</w:t>
      </w:r>
      <w:r>
        <w:rPr>
          <w:rFonts w:ascii="方正仿宋简体" w:eastAsia="方正仿宋简体" w:hAnsi="宋体" w:cs="仿宋_GB2312" w:hint="eastAsia"/>
          <w:color w:val="000000"/>
          <w:sz w:val="32"/>
          <w:szCs w:val="32"/>
        </w:rPr>
        <w:t>水体保护控制线中的河道、水库的防洪（防涝）标准，干流河道的走向、宽度（最小控制值）。</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6</w:t>
      </w:r>
      <w:r>
        <w:rPr>
          <w:rFonts w:ascii="方正仿宋简体" w:eastAsia="方正仿宋简体" w:hAnsi="宋体" w:cs="仿宋_GB2312"/>
          <w:color w:val="000000"/>
          <w:sz w:val="32"/>
          <w:szCs w:val="32"/>
        </w:rPr>
        <w:t>.</w:t>
      </w:r>
      <w:r>
        <w:rPr>
          <w:rFonts w:ascii="方正仿宋简体" w:eastAsia="方正仿宋简体" w:hAnsi="宋体" w:cs="仿宋_GB2312" w:hint="eastAsia"/>
          <w:color w:val="000000"/>
          <w:sz w:val="32"/>
          <w:szCs w:val="32"/>
        </w:rPr>
        <w:t>历史文化资源保护控制线中的各级文物保护单位、地下文物保护区、历史建筑的保护范围与保护控制要求；历史文化街区、名镇、名村的核心保护范围与建设控制地带等保护控制要求。</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（四）控制方式分为实线控制和虚线控制两种。</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w:t>
      </w:r>
      <w:r>
        <w:rPr>
          <w:rFonts w:ascii="方正仿宋简体" w:eastAsia="方正仿宋简体" w:hAnsi="宋体" w:cs="仿宋_GB2312"/>
          <w:color w:val="000000"/>
          <w:sz w:val="32"/>
          <w:szCs w:val="32"/>
        </w:rPr>
        <w:t>.</w:t>
      </w:r>
      <w:r>
        <w:rPr>
          <w:rFonts w:ascii="方正仿宋简体" w:eastAsia="方正仿宋简体" w:hAnsi="宋体" w:cs="仿宋_GB2312" w:hint="eastAsia"/>
          <w:color w:val="000000"/>
          <w:sz w:val="32"/>
          <w:szCs w:val="32"/>
        </w:rPr>
        <w:t>实线控制是指对地块或设施的位置、边界、形状、建设规模、建设内容不得更改。</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w:t>
      </w:r>
      <w:r>
        <w:rPr>
          <w:rFonts w:ascii="方正仿宋简体" w:eastAsia="方正仿宋简体" w:hAnsi="宋体" w:cs="仿宋_GB2312"/>
          <w:color w:val="000000"/>
          <w:sz w:val="32"/>
          <w:szCs w:val="32"/>
        </w:rPr>
        <w:t>.</w:t>
      </w:r>
      <w:r>
        <w:rPr>
          <w:rFonts w:ascii="方正仿宋简体" w:eastAsia="方正仿宋简体" w:hAnsi="宋体" w:cs="仿宋_GB2312" w:hint="eastAsia"/>
          <w:color w:val="000000"/>
          <w:sz w:val="32"/>
          <w:szCs w:val="32"/>
        </w:rPr>
        <w:t>虚线控制是指对地块或设施的建设规模和建设内容不得更改，位置、边界、形状、数量可根据具体情况进行调整。</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第十二条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片区的弹性引导内容包括：功能结构、规划目标、居住人口总量及分布、用地布局；新建独立占地公益性服务设施、基础设施、各类绿地的位置、形状、数量，城市支路、河道支流的位置、线型；城市交通与用地协调要求、建筑高度和建设强度控制分区、海绵城市建设要求、竖向与地下空间规划、城市设计导引等。</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第十三条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街区的刚性控制内容包括：各级各类公共服务、市政公用、公共安全、交通设施以及绿地配套标准、界线、规模、数量；道路用地界线；各级河道及需要保护的各类地表水体、地下水涵养区等区域的界线、标准；各级文物保护单位、地下文物保护区、历史文化街区、名镇、名村、历史建筑等的保护范围及</w:t>
      </w:r>
      <w:r>
        <w:rPr>
          <w:rFonts w:ascii="方正仿宋简体" w:eastAsia="方正仿宋简体" w:hAnsi="宋体" w:cs="仿宋_GB2312" w:hint="eastAsia"/>
          <w:color w:val="000000"/>
          <w:sz w:val="32"/>
          <w:szCs w:val="32"/>
        </w:rPr>
        <w:lastRenderedPageBreak/>
        <w:t>保护要求。地块用地性质及混合、兼容性要求，地块容积率（地上）。</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第十四条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街区的弹性引导内容包括：居住人口、地块划分与编码、建筑平面布局意向、城市设计要素控制要求；各级道路断面、交叉口形式、转弯半径及渠化措施、控制点坐标，公交站点位置；各级道路控制点标高和地块场地平均标高；地下空间使用功能、范围、连通位置；各级文物保护单位、地下文物保护区、历史文化街区、名镇、名村、历史建筑等的建设控制地带范围及控制要求；海绵城市设计建设要求。地块容积率（地下）、总建筑面积（地下）、建筑高度、建筑密度，地块出入口位置、停车泊位数及海绵城市建设指标等。</w:t>
      </w:r>
    </w:p>
    <w:p w:rsidR="00DA44CC" w:rsidRPr="007852A6" w:rsidRDefault="00C53A1B" w:rsidP="00797C55">
      <w:pPr>
        <w:adjustRightInd w:val="0"/>
        <w:snapToGrid w:val="0"/>
        <w:spacing w:line="600" w:lineRule="exact"/>
        <w:ind w:firstLineChars="200" w:firstLine="640"/>
        <w:rPr>
          <w:rFonts w:ascii="方正仿宋简体" w:eastAsia="方正仿宋简体" w:hAnsi="宋体" w:cs="仿宋_GB2312"/>
          <w:sz w:val="32"/>
          <w:szCs w:val="32"/>
        </w:rPr>
      </w:pPr>
      <w:r>
        <w:rPr>
          <w:rFonts w:ascii="方正黑体简体" w:eastAsia="方正黑体简体" w:hAnsi="宋体" w:cs="黑体" w:hint="eastAsia"/>
          <w:color w:val="000000"/>
          <w:sz w:val="32"/>
          <w:szCs w:val="32"/>
        </w:rPr>
        <w:t>第十五条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片区控规、街区控规均为法定规划，片区控规、街区控规及执行通则均为自然资源和规划主管部门实施规划管理、作出</w:t>
      </w:r>
      <w:r w:rsidRPr="007852A6">
        <w:rPr>
          <w:rFonts w:ascii="方正仿宋简体" w:eastAsia="方正仿宋简体" w:hAnsi="宋体" w:cs="仿宋_GB2312" w:hint="eastAsia"/>
          <w:sz w:val="32"/>
          <w:szCs w:val="32"/>
        </w:rPr>
        <w:t>行政许可的依据。</w:t>
      </w:r>
      <w:r w:rsidR="00797C55" w:rsidRPr="007852A6">
        <w:rPr>
          <w:rFonts w:ascii="方正仿宋简体" w:eastAsia="方正仿宋简体" w:hAnsi="宋体" w:cs="仿宋_GB2312" w:hint="eastAsia"/>
          <w:sz w:val="32"/>
          <w:szCs w:val="32"/>
        </w:rPr>
        <w:t>经批复的街区控规替代相应街区范围内的片区控规。</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sidRPr="007852A6">
        <w:rPr>
          <w:rFonts w:ascii="方正黑体简体" w:eastAsia="方正黑体简体" w:hAnsi="宋体" w:cs="黑体" w:hint="eastAsia"/>
          <w:sz w:val="32"/>
          <w:szCs w:val="32"/>
        </w:rPr>
        <w:t>第十六条</w:t>
      </w:r>
      <w:r w:rsidRPr="007852A6">
        <w:rPr>
          <w:rFonts w:ascii="方正仿宋简体" w:eastAsia="方正仿宋简体" w:hAnsi="宋体" w:cs="仿宋_GB2312" w:hint="eastAsia"/>
          <w:sz w:val="32"/>
          <w:szCs w:val="32"/>
        </w:rPr>
        <w:t xml:space="preserve"> </w:t>
      </w:r>
      <w:r w:rsidRPr="007852A6">
        <w:rPr>
          <w:rFonts w:ascii="方正仿宋简体" w:eastAsia="方正仿宋简体" w:hAnsi="宋体" w:cs="仿宋_GB2312"/>
          <w:sz w:val="32"/>
          <w:szCs w:val="32"/>
        </w:rPr>
        <w:t xml:space="preserve"> </w:t>
      </w:r>
      <w:r w:rsidRPr="007852A6">
        <w:rPr>
          <w:rFonts w:ascii="方正仿宋简体" w:eastAsia="方正仿宋简体" w:hAnsi="宋体" w:cs="仿宋_GB2312" w:hint="eastAsia"/>
          <w:sz w:val="32"/>
          <w:szCs w:val="32"/>
        </w:rPr>
        <w:t>控制性详细规划草案编制完成后，控制性详细规划组织编制机关应当依法将控制性详细</w:t>
      </w:r>
      <w:r>
        <w:rPr>
          <w:rFonts w:ascii="方正仿宋简体" w:eastAsia="方正仿宋简体" w:hAnsi="宋体" w:cs="仿宋_GB2312" w:hint="eastAsia"/>
          <w:color w:val="000000"/>
          <w:sz w:val="32"/>
          <w:szCs w:val="32"/>
        </w:rPr>
        <w:t>规划草案予以公告，并采取论证会、听证会或者其他方式征求专家和公众的意见。</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公告的时间不得少于30日。公告的时间、地点及公众提交意见的期限、方式，应当在政府信息网站以及当地主要新闻媒体上公布。</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lastRenderedPageBreak/>
        <w:t>第十七条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控制性详细规划经市城乡规划委员会审查通过后，控制性详细规划组织编制机关应当将控制性详细规划草案、审查意见、公众意见及处理结果报市政府审批。经批准后，报市人民代表大会常务委员会和省人民政府备案。</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第十八条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控制性详细规划应当自批准之日起20个工作日内，通过政府信息网站以及当地主要新闻媒体等便于公众知晓的方式公布。</w:t>
      </w:r>
    </w:p>
    <w:p w:rsidR="00DA44CC" w:rsidRDefault="00DA44CC">
      <w:pPr>
        <w:adjustRightInd w:val="0"/>
        <w:snapToGrid w:val="0"/>
        <w:spacing w:line="600" w:lineRule="exact"/>
        <w:ind w:firstLineChars="200" w:firstLine="640"/>
        <w:rPr>
          <w:rFonts w:ascii="方正仿宋简体" w:eastAsia="方正仿宋简体" w:hAnsi="宋体" w:cs="仿宋_GB2312"/>
          <w:color w:val="000000"/>
          <w:sz w:val="32"/>
          <w:szCs w:val="32"/>
        </w:rPr>
      </w:pPr>
    </w:p>
    <w:p w:rsidR="00DA44CC" w:rsidRDefault="00C53A1B">
      <w:pPr>
        <w:adjustRightInd w:val="0"/>
        <w:snapToGrid w:val="0"/>
        <w:spacing w:line="600" w:lineRule="exact"/>
        <w:jc w:val="center"/>
        <w:rPr>
          <w:rFonts w:ascii="方正黑体简体" w:eastAsia="方正黑体简体" w:hAnsi="宋体" w:cs="方正小标宋简体"/>
          <w:color w:val="000000"/>
          <w:sz w:val="32"/>
          <w:szCs w:val="32"/>
        </w:rPr>
      </w:pPr>
      <w:r>
        <w:rPr>
          <w:rFonts w:ascii="方正黑体简体" w:eastAsia="方正黑体简体" w:hAnsi="宋体" w:cs="方正小标宋简体" w:hint="eastAsia"/>
          <w:color w:val="000000"/>
          <w:sz w:val="32"/>
          <w:szCs w:val="32"/>
        </w:rPr>
        <w:t>第三章  控制性详细规划的变更</w:t>
      </w:r>
    </w:p>
    <w:p w:rsidR="00DA44CC" w:rsidRDefault="00DA44CC">
      <w:pPr>
        <w:adjustRightInd w:val="0"/>
        <w:snapToGrid w:val="0"/>
        <w:spacing w:line="600" w:lineRule="exact"/>
        <w:ind w:firstLineChars="200" w:firstLine="640"/>
        <w:rPr>
          <w:rFonts w:ascii="方正黑体简体" w:eastAsia="方正黑体简体" w:hAnsi="宋体" w:cs="黑体"/>
          <w:color w:val="000000"/>
          <w:sz w:val="32"/>
          <w:szCs w:val="32"/>
        </w:rPr>
      </w:pP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第十九条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经依法批准的控制性详细规划，任何单位和个人未经规定程序不得擅自变更。符合相关法律、法规规定的情形，确需对控制性详细规划成果进行优化完善的，规划组织编制机关按照规定程序和权限变更控制性详细规划。控制性详细规划变更分为修改、调整和深化三类。</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第二十条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控制性详细规划修改是指对刚性控制内容的变更。</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 xml:space="preserve">第二十一条 </w:t>
      </w:r>
      <w:r>
        <w:rPr>
          <w:rFonts w:ascii="方正黑体简体" w:eastAsia="方正黑体简体" w:hAnsi="宋体" w:cs="黑体"/>
          <w:color w:val="000000"/>
          <w:sz w:val="32"/>
          <w:szCs w:val="32"/>
        </w:rPr>
        <w:t xml:space="preserve"> </w:t>
      </w:r>
      <w:r>
        <w:rPr>
          <w:rFonts w:ascii="方正仿宋简体" w:eastAsia="方正仿宋简体" w:hAnsi="宋体" w:cs="仿宋_GB2312" w:hint="eastAsia"/>
          <w:color w:val="000000"/>
          <w:sz w:val="32"/>
          <w:szCs w:val="32"/>
        </w:rPr>
        <w:t>控制性详细规划调整是指在不影响片区整体功能和设施服务水平的前提下，对弹性引导内容进行调整。</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第二十二条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控制性详细规划深化是指在不影响片区整体功能和设施服务水平的前提下，对弹性引导内容进行深化细化，</w:t>
      </w:r>
      <w:r>
        <w:rPr>
          <w:rFonts w:ascii="方正仿宋简体" w:eastAsia="方正仿宋简体" w:hAnsi="宋体" w:cs="仿宋_GB2312" w:hint="eastAsia"/>
          <w:color w:val="000000"/>
          <w:sz w:val="32"/>
          <w:szCs w:val="32"/>
        </w:rPr>
        <w:lastRenderedPageBreak/>
        <w:t>主要包括以下情形：</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（一）用地性质在符合兼容性相关规定的前提下，在规划实施阶段中需要落实用地性质及深化规划指标的；</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（二）在符合控制性详细规划中实线控制、虚线控制、点位控制、通则式规定以及其他控制要求的前提下，进一步深化地块控制要求的；</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（三）不涉及周边重大利害关系，增加或者扩大“六线”用地的；因“六线”实施的需要，导致其相邻“六线”等地块确有必要相应轻微变化，并满足设施功能等级要求的；</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（四）在不改变用地性质、规划指标的前提下，根据建设需要对地块进行合并或者细分的；</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（五）道路断面、交叉口形式、机动车出入口等，在实施中需要对控制性详细规划进行深化、细化的；</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（六）因实测数据或现状地块边界、权属边界与规划地块不一致、不准确的，因基础数据缺失或笔误等原因导致表达错误或者信息误差的，在实施中需要对控制性详细规划进行勘误的；</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（七）控制性详细规划的弹性引导性内容需要深化的其他情形。</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第二十三条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属于控制性详细规划修改的，控制性详细规划组织编制机关遵照《城市、镇控制性详细规划编制审批办法》第二十条规定的程序执行。修改控制性详细规划中的蓝线、绿线、</w:t>
      </w:r>
      <w:r>
        <w:rPr>
          <w:rFonts w:ascii="方正仿宋简体" w:eastAsia="方正仿宋简体" w:hAnsi="宋体" w:cs="仿宋_GB2312" w:hint="eastAsia"/>
          <w:color w:val="000000"/>
          <w:sz w:val="32"/>
          <w:szCs w:val="32"/>
        </w:rPr>
        <w:lastRenderedPageBreak/>
        <w:t>中小学、医疗卫生设施、市政公用设施等涉及已批专项规划的，控制性详细规划修改方案应当征求专项规划的行政主管部门的意见。</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 xml:space="preserve">第二十四条 </w:t>
      </w:r>
      <w:r>
        <w:rPr>
          <w:rFonts w:ascii="方正黑体简体" w:eastAsia="方正黑体简体" w:hAnsi="宋体" w:cs="黑体"/>
          <w:color w:val="000000"/>
          <w:sz w:val="32"/>
          <w:szCs w:val="32"/>
        </w:rPr>
        <w:t xml:space="preserve"> </w:t>
      </w:r>
      <w:r>
        <w:rPr>
          <w:rFonts w:ascii="方正仿宋简体" w:eastAsia="方正仿宋简体" w:hAnsi="宋体" w:cs="仿宋_GB2312" w:hint="eastAsia"/>
          <w:color w:val="000000"/>
          <w:sz w:val="32"/>
          <w:szCs w:val="32"/>
        </w:rPr>
        <w:t>属于控制性详细规划调整的，按照以下基本程序执行：</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（一）由区政府（管委会）向市自然资源和规划主管部门提出申请；</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（二）市自然资源和规划主管部门同意后，区政府（管委会）委托有相应乙级及以上规划编制资质等级的单位进行规划论证；</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（三）区政府（管委会）将论证方案和论证意见以社会公示的方式征求规划地段内利害关系人及行业主管部门意见，公示时间为10天。必要时以函询、座谈或听证方式征求地段内利害关系人意见；</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（四）市自然资源和规划主管部门审查确认，经审查确认的意见作为后续规划管理的依据。</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第二十五条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属于控制性详细规划深化的，按照以下基本程序执行：</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（一）市自然资源和规划主管部门根据不同实施阶段的需求和实际，对控制性详细规划进行动态维护。</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（二）控制性详细规划深化实施方案涉及周边重大利益的，应当征求地段内利害关系人及行业主管部门的意见；</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lastRenderedPageBreak/>
        <w:t>（三）经市自然资源和规划主管部门审查确认，经审查确认的意见作为后续规划管理的依据。</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 xml:space="preserve">第二十六条 </w:t>
      </w:r>
      <w:r>
        <w:rPr>
          <w:rFonts w:ascii="方正仿宋简体" w:eastAsia="方正仿宋简体" w:hAnsi="宋体" w:cs="仿宋_GB2312" w:hint="eastAsia"/>
          <w:color w:val="000000"/>
          <w:sz w:val="32"/>
          <w:szCs w:val="32"/>
        </w:rPr>
        <w:t xml:space="preserve"> 控制性详细规划变更不得违反上位规划强制性内容。</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第二十七条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市自然资源和规划主管部门应当建立控制性详细规划变更档案，定期向市政府报告控制性详细规划的变更情况。</w:t>
      </w:r>
    </w:p>
    <w:p w:rsidR="00DA44CC" w:rsidRDefault="00DA44CC">
      <w:pPr>
        <w:adjustRightInd w:val="0"/>
        <w:snapToGrid w:val="0"/>
        <w:spacing w:line="600" w:lineRule="exact"/>
        <w:jc w:val="center"/>
        <w:rPr>
          <w:rFonts w:ascii="方正黑体简体" w:eastAsia="方正黑体简体" w:hAnsi="宋体" w:cs="方正小标宋简体"/>
          <w:color w:val="000000"/>
          <w:sz w:val="32"/>
          <w:szCs w:val="32"/>
        </w:rPr>
      </w:pPr>
    </w:p>
    <w:p w:rsidR="00DA44CC" w:rsidRDefault="00C53A1B">
      <w:pPr>
        <w:adjustRightInd w:val="0"/>
        <w:snapToGrid w:val="0"/>
        <w:spacing w:line="600" w:lineRule="exact"/>
        <w:jc w:val="center"/>
        <w:rPr>
          <w:rFonts w:ascii="方正黑体简体" w:eastAsia="方正黑体简体" w:hAnsi="宋体" w:cs="方正小标宋简体"/>
          <w:color w:val="000000"/>
          <w:sz w:val="32"/>
          <w:szCs w:val="32"/>
        </w:rPr>
      </w:pPr>
      <w:r>
        <w:rPr>
          <w:rFonts w:ascii="方正黑体简体" w:eastAsia="方正黑体简体" w:hAnsi="宋体" w:cs="方正小标宋简体" w:hint="eastAsia"/>
          <w:color w:val="000000"/>
          <w:sz w:val="32"/>
          <w:szCs w:val="32"/>
        </w:rPr>
        <w:t>第四章  控制性详细规划的实施与管理</w:t>
      </w:r>
    </w:p>
    <w:p w:rsidR="00DA44CC" w:rsidRDefault="00DA44CC">
      <w:pPr>
        <w:adjustRightInd w:val="0"/>
        <w:snapToGrid w:val="0"/>
        <w:spacing w:line="600" w:lineRule="exact"/>
        <w:ind w:firstLineChars="200" w:firstLine="640"/>
        <w:rPr>
          <w:rFonts w:ascii="方正黑体简体" w:eastAsia="方正黑体简体" w:hAnsi="宋体" w:cs="黑体"/>
          <w:color w:val="000000"/>
          <w:sz w:val="32"/>
          <w:szCs w:val="32"/>
        </w:rPr>
      </w:pP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第二十八条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经依法批准的控制性详细规划是自然资源和规划主管部门作出规划行政许可、实施规划管理的法定依据，划拨、出让国有土地进行开发建设，应当符合控制性详细规划的要求。</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第二十九条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街区控规未编制区域，市自然资源和规划主管部门可以根据需要依据片区控规组织规划论证，进一步细化地块规划控制要求。规划论证成果由市自然资源和规划主管部门批准后，可作为规划管理的技术支撑。</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第三十条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编制专项规划、城市设计、实施性规划等涉及控制性详细规划变更的，应当同步提出控制性详细规划修改方案，经市自然资源和规划主管部门同意后，按程序变更。</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lastRenderedPageBreak/>
        <w:t>第三十一条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控制性详细规划组织编制机关应当建立控制性详细规划动态维护机制，定期对控制性详细规划实施情况进行评估，并将评估结论、控制性详细规划实施情况等向原审批机关报告。</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片区控规批准实施后，当片区新开发改造建设用地面积超过片区新增总建设用地面积的40%时开展评估。评估结论应作为控制性详细规划变更的依据。评估周期原则上不超过3年。</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第三十二条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市自然资源和规划主管部门应当依托统一的数字系统，对全市控制性详细规划成果、变更信息、基础资料以及相关文件等档案信息进行整理维护，及时纳入“一张图”信息管理系统，确保控制性详细规划数据的时效性和准确性。</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第三十三条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仿宋简体" w:eastAsia="方正仿宋简体" w:hAnsi="宋体" w:cs="仿宋_GB2312" w:hint="eastAsia"/>
          <w:color w:val="000000"/>
          <w:sz w:val="32"/>
          <w:szCs w:val="32"/>
        </w:rPr>
        <w:t>违反本规定进行控制性详细规划管理工作的，按照相关法律、法规的要求追究法律责任。</w:t>
      </w:r>
    </w:p>
    <w:p w:rsidR="00DA44CC" w:rsidRDefault="00DA44CC">
      <w:pPr>
        <w:adjustRightInd w:val="0"/>
        <w:snapToGrid w:val="0"/>
        <w:spacing w:line="600" w:lineRule="exact"/>
        <w:ind w:firstLineChars="200" w:firstLine="640"/>
        <w:rPr>
          <w:rFonts w:ascii="方正仿宋简体" w:eastAsia="方正仿宋简体" w:hAnsi="宋体" w:cs="仿宋_GB2312"/>
          <w:color w:val="000000"/>
          <w:sz w:val="32"/>
          <w:szCs w:val="32"/>
        </w:rPr>
      </w:pPr>
    </w:p>
    <w:p w:rsidR="00DA44CC" w:rsidRDefault="00C53A1B">
      <w:pPr>
        <w:adjustRightInd w:val="0"/>
        <w:snapToGrid w:val="0"/>
        <w:spacing w:line="600" w:lineRule="exact"/>
        <w:jc w:val="center"/>
        <w:rPr>
          <w:rFonts w:ascii="方正黑体简体" w:eastAsia="方正黑体简体" w:hAnsi="宋体" w:cs="方正小标宋简体"/>
          <w:color w:val="000000"/>
          <w:sz w:val="32"/>
          <w:szCs w:val="32"/>
        </w:rPr>
      </w:pPr>
      <w:r>
        <w:rPr>
          <w:rFonts w:ascii="方正黑体简体" w:eastAsia="方正黑体简体" w:hAnsi="宋体" w:cs="方正小标宋简体" w:hint="eastAsia"/>
          <w:color w:val="000000"/>
          <w:sz w:val="32"/>
          <w:szCs w:val="32"/>
        </w:rPr>
        <w:t xml:space="preserve">第五章  附 </w:t>
      </w:r>
      <w:r>
        <w:rPr>
          <w:rFonts w:ascii="方正黑体简体" w:eastAsia="方正黑体简体" w:hAnsi="宋体" w:cs="方正小标宋简体"/>
          <w:color w:val="000000"/>
          <w:sz w:val="32"/>
          <w:szCs w:val="32"/>
        </w:rPr>
        <w:t xml:space="preserve"> </w:t>
      </w:r>
      <w:r>
        <w:rPr>
          <w:rFonts w:ascii="方正黑体简体" w:eastAsia="方正黑体简体" w:hAnsi="宋体" w:cs="方正小标宋简体" w:hint="eastAsia"/>
          <w:color w:val="000000"/>
          <w:sz w:val="32"/>
          <w:szCs w:val="32"/>
        </w:rPr>
        <w:t>则</w:t>
      </w:r>
    </w:p>
    <w:p w:rsidR="00DA44CC" w:rsidRDefault="00DA44CC">
      <w:pPr>
        <w:adjustRightInd w:val="0"/>
        <w:snapToGrid w:val="0"/>
        <w:spacing w:line="600" w:lineRule="exact"/>
        <w:ind w:firstLineChars="200" w:firstLine="640"/>
        <w:rPr>
          <w:rFonts w:ascii="方正黑体简体" w:eastAsia="方正黑体简体" w:hAnsi="宋体" w:cs="黑体"/>
          <w:color w:val="000000"/>
          <w:sz w:val="32"/>
          <w:szCs w:val="32"/>
        </w:rPr>
      </w:pP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第三十四条</w:t>
      </w:r>
      <w:r>
        <w:rPr>
          <w:rFonts w:ascii="方正仿宋简体" w:eastAsia="方正仿宋简体" w:hAnsi="宋体" w:cs="仿宋_GB2312" w:hint="eastAsia"/>
          <w:color w:val="000000"/>
          <w:sz w:val="32"/>
          <w:szCs w:val="32"/>
        </w:rPr>
        <w:t xml:space="preserve"> 本规定下列用语的含义：</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（一）中心城区，是指《济宁市城市总体规划（2014—2030年）》中确定的城市建设用地范围，总面积385平方公里。</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（二）专项规划，是指综合交通、历史文化名城、城市更新和旧城改造、教育设施、地下空间等专项规划和其他涉及空间布</w:t>
      </w:r>
      <w:r>
        <w:rPr>
          <w:rFonts w:ascii="方正仿宋简体" w:eastAsia="方正仿宋简体" w:hAnsi="宋体" w:cs="仿宋_GB2312" w:hint="eastAsia"/>
          <w:color w:val="000000"/>
          <w:sz w:val="32"/>
          <w:szCs w:val="32"/>
        </w:rPr>
        <w:lastRenderedPageBreak/>
        <w:t>局与土地利用的专项规划。</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（三）实施性规划，是指地块或重点功能区的修建性详细规划、市政基础设施建设规划等。</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（四）点位控制，实行点位控制的规划内容，其设施主要与其他类型用地复合利用，设施要求等不得作出更改，设施位置在街区内根据具体方案深化确定。</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（五）“六线”，是指红线、绿线、蓝线、黄线、橙线、紫线。其中：</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红线是指城市道路的用地边界线。</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绿线是指各类公园绿地、防护绿地、广场等的范围界线。</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蓝线是指城市规划确定的江、河、湖、库、渠和湿地等城市地表水体保护与控制的地域界限。</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黄线是指对城市发展全局有影响的、城市规划中确定的、必须控制的城市基础设施用地的控制界限。</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橙线是指独立占地的行政办公、医疗卫生、文化、体育、社会福利和基础教育等设施用地界线以及需要进行点位控制的设施功能。</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紫线是指省人民政府公布的历史文化街区的保护范围界限、以及历史文化街区外经县级以上人民政府公布保护的文物保护单位、地下文物保护区、历史建筑的保护范围界限。</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（六）基准容积率是确定地块额定容积率的基准参数，依据</w:t>
      </w:r>
      <w:r>
        <w:rPr>
          <w:rFonts w:ascii="方正仿宋简体" w:eastAsia="方正仿宋简体" w:hAnsi="宋体" w:cs="仿宋_GB2312" w:hint="eastAsia"/>
          <w:color w:val="000000"/>
          <w:sz w:val="32"/>
          <w:szCs w:val="32"/>
        </w:rPr>
        <w:lastRenderedPageBreak/>
        <w:t>建设强度分区专项规划（研究）对城市总体规划用地面积和建设容量进行分区、分级、分解所得。</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（七）地块容积率（地上）是指容积率限定范围。其计算公式为：地块容积率（地上）=基准容积率×调整系数。</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调整系数包括交通区位调整系数、用地规模调整系数等。</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 xml:space="preserve">第三十五条 </w:t>
      </w:r>
      <w:r>
        <w:rPr>
          <w:rFonts w:ascii="方正仿宋简体" w:eastAsia="方正仿宋简体" w:hAnsi="宋体" w:cs="仿宋_GB2312" w:hint="eastAsia"/>
          <w:color w:val="000000"/>
          <w:sz w:val="32"/>
          <w:szCs w:val="32"/>
        </w:rPr>
        <w:t>控制性详细规划管理涉及本规定未包含内容的，应符合国家和地方现行有关法律、法规及标准的规定。</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 xml:space="preserve">第三十六条 </w:t>
      </w:r>
      <w:r>
        <w:rPr>
          <w:rFonts w:ascii="方正仿宋简体" w:eastAsia="方正仿宋简体" w:hAnsi="宋体" w:cs="仿宋_GB2312" w:hint="eastAsia"/>
          <w:color w:val="000000"/>
          <w:sz w:val="32"/>
          <w:szCs w:val="32"/>
        </w:rPr>
        <w:t>本规定由市自然资源和规划主管部门负责解释。</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黑体简体" w:eastAsia="方正黑体简体" w:hAnsi="宋体" w:cs="黑体" w:hint="eastAsia"/>
          <w:color w:val="000000"/>
          <w:sz w:val="32"/>
          <w:szCs w:val="32"/>
        </w:rPr>
        <w:t>第三十七条</w:t>
      </w:r>
      <w:r>
        <w:rPr>
          <w:rFonts w:ascii="方正仿宋简体" w:eastAsia="方正仿宋简体" w:hAnsi="宋体" w:cs="仿宋_GB2312" w:hint="eastAsia"/>
          <w:color w:val="000000"/>
          <w:sz w:val="32"/>
          <w:szCs w:val="32"/>
        </w:rPr>
        <w:t xml:space="preserve"> 本规定自2020年</w:t>
      </w:r>
      <w:r>
        <w:rPr>
          <w:rFonts w:ascii="方正仿宋简体" w:eastAsia="方正仿宋简体" w:hAnsi="宋体" w:cs="仿宋_GB2312"/>
          <w:color w:val="000000"/>
          <w:sz w:val="32"/>
          <w:szCs w:val="32"/>
        </w:rPr>
        <w:t>7</w:t>
      </w:r>
      <w:r>
        <w:rPr>
          <w:rFonts w:ascii="方正仿宋简体" w:eastAsia="方正仿宋简体" w:hAnsi="宋体" w:cs="仿宋_GB2312" w:hint="eastAsia"/>
          <w:color w:val="000000"/>
          <w:sz w:val="32"/>
          <w:szCs w:val="32"/>
        </w:rPr>
        <w:t>月</w:t>
      </w:r>
      <w:r>
        <w:rPr>
          <w:rFonts w:ascii="方正仿宋简体" w:eastAsia="方正仿宋简体" w:hAnsi="宋体" w:cs="仿宋_GB2312"/>
          <w:color w:val="000000"/>
          <w:sz w:val="32"/>
          <w:szCs w:val="32"/>
        </w:rPr>
        <w:t>1</w:t>
      </w:r>
      <w:r>
        <w:rPr>
          <w:rFonts w:ascii="方正仿宋简体" w:eastAsia="方正仿宋简体" w:hAnsi="宋体" w:cs="仿宋_GB2312" w:hint="eastAsia"/>
          <w:color w:val="000000"/>
          <w:sz w:val="32"/>
          <w:szCs w:val="32"/>
        </w:rPr>
        <w:t>日起施行，有效期3年。</w:t>
      </w:r>
    </w:p>
    <w:p w:rsidR="00DA44CC" w:rsidRDefault="00DA44CC">
      <w:pPr>
        <w:adjustRightInd w:val="0"/>
        <w:snapToGrid w:val="0"/>
        <w:spacing w:line="600" w:lineRule="exact"/>
        <w:ind w:firstLineChars="100" w:firstLine="320"/>
        <w:rPr>
          <w:rFonts w:ascii="方正仿宋简体" w:eastAsia="方正仿宋简体" w:hAnsi="宋体" w:cs="仿宋_GB2312"/>
          <w:color w:val="000000"/>
          <w:sz w:val="32"/>
          <w:szCs w:val="32"/>
        </w:rPr>
      </w:pPr>
    </w:p>
    <w:p w:rsidR="00DA44CC" w:rsidRDefault="00DA44CC">
      <w:pPr>
        <w:adjustRightInd w:val="0"/>
        <w:snapToGrid w:val="0"/>
        <w:spacing w:line="600" w:lineRule="exact"/>
        <w:ind w:firstLineChars="100" w:firstLine="320"/>
        <w:rPr>
          <w:rFonts w:ascii="方正仿宋简体" w:eastAsia="方正仿宋简体" w:hAnsi="宋体" w:cs="仿宋_GB2312"/>
          <w:color w:val="000000"/>
          <w:sz w:val="32"/>
          <w:szCs w:val="32"/>
        </w:rPr>
      </w:pPr>
    </w:p>
    <w:p w:rsidR="00DA44CC" w:rsidRDefault="00DA44CC">
      <w:pPr>
        <w:adjustRightInd w:val="0"/>
        <w:snapToGrid w:val="0"/>
        <w:spacing w:line="600" w:lineRule="exact"/>
        <w:ind w:firstLineChars="100" w:firstLine="320"/>
        <w:rPr>
          <w:rFonts w:ascii="方正仿宋简体" w:eastAsia="方正仿宋简体" w:hAnsi="宋体" w:cs="仿宋_GB2312"/>
          <w:color w:val="000000"/>
          <w:sz w:val="32"/>
          <w:szCs w:val="32"/>
        </w:rPr>
      </w:pPr>
    </w:p>
    <w:p w:rsidR="00DA44CC" w:rsidRDefault="00DA44CC">
      <w:pPr>
        <w:adjustRightInd w:val="0"/>
        <w:snapToGrid w:val="0"/>
        <w:spacing w:line="600" w:lineRule="exact"/>
        <w:ind w:firstLineChars="100" w:firstLine="320"/>
        <w:rPr>
          <w:rFonts w:ascii="方正仿宋简体" w:eastAsia="方正仿宋简体" w:hAnsi="宋体" w:cs="仿宋_GB2312"/>
          <w:color w:val="000000"/>
          <w:sz w:val="32"/>
          <w:szCs w:val="32"/>
        </w:rPr>
      </w:pPr>
    </w:p>
    <w:p w:rsidR="00DA44CC" w:rsidRDefault="00DA44CC">
      <w:pPr>
        <w:adjustRightInd w:val="0"/>
        <w:snapToGrid w:val="0"/>
        <w:spacing w:line="600" w:lineRule="exact"/>
        <w:ind w:firstLineChars="100" w:firstLine="320"/>
        <w:rPr>
          <w:rFonts w:ascii="方正仿宋简体" w:eastAsia="方正仿宋简体" w:hAnsi="宋体" w:cs="仿宋_GB2312"/>
          <w:color w:val="000000"/>
          <w:sz w:val="32"/>
          <w:szCs w:val="32"/>
        </w:rPr>
      </w:pPr>
    </w:p>
    <w:p w:rsidR="00DA44CC" w:rsidRDefault="00DA44CC">
      <w:pPr>
        <w:adjustRightInd w:val="0"/>
        <w:snapToGrid w:val="0"/>
        <w:spacing w:line="600" w:lineRule="exact"/>
        <w:ind w:firstLineChars="100" w:firstLine="320"/>
        <w:rPr>
          <w:rFonts w:ascii="方正仿宋简体" w:eastAsia="方正仿宋简体" w:hAnsi="宋体" w:cs="仿宋_GB2312"/>
          <w:color w:val="000000"/>
          <w:sz w:val="32"/>
          <w:szCs w:val="32"/>
        </w:rPr>
      </w:pPr>
    </w:p>
    <w:p w:rsidR="00DA44CC" w:rsidRDefault="00DA44CC">
      <w:pPr>
        <w:adjustRightInd w:val="0"/>
        <w:snapToGrid w:val="0"/>
        <w:spacing w:line="600" w:lineRule="exact"/>
        <w:ind w:firstLineChars="100" w:firstLine="320"/>
        <w:rPr>
          <w:rFonts w:ascii="方正仿宋简体" w:eastAsia="方正仿宋简体" w:hAnsi="宋体" w:cs="仿宋_GB2312"/>
          <w:color w:val="000000"/>
          <w:sz w:val="32"/>
          <w:szCs w:val="32"/>
        </w:rPr>
      </w:pPr>
    </w:p>
    <w:p w:rsidR="007A6E6D" w:rsidRDefault="007A6E6D">
      <w:pPr>
        <w:adjustRightInd w:val="0"/>
        <w:snapToGrid w:val="0"/>
        <w:spacing w:line="600" w:lineRule="exact"/>
        <w:ind w:firstLineChars="100" w:firstLine="320"/>
        <w:rPr>
          <w:rFonts w:ascii="方正仿宋简体" w:eastAsia="方正仿宋简体" w:hAnsi="宋体" w:cs="仿宋_GB2312"/>
          <w:color w:val="000000"/>
          <w:sz w:val="32"/>
          <w:szCs w:val="32"/>
        </w:rPr>
      </w:pPr>
    </w:p>
    <w:p w:rsidR="00DA44CC" w:rsidRDefault="00DA44CC">
      <w:pPr>
        <w:adjustRightInd w:val="0"/>
        <w:snapToGrid w:val="0"/>
        <w:spacing w:line="600" w:lineRule="exact"/>
        <w:ind w:firstLineChars="100" w:firstLine="320"/>
        <w:rPr>
          <w:rFonts w:ascii="方正仿宋简体" w:eastAsia="方正仿宋简体" w:hAnsi="宋体" w:cs="仿宋_GB2312"/>
          <w:color w:val="000000"/>
          <w:sz w:val="32"/>
          <w:szCs w:val="32"/>
        </w:rPr>
      </w:pPr>
    </w:p>
    <w:p w:rsidR="00DA44CC" w:rsidRDefault="00DA44CC">
      <w:pPr>
        <w:adjustRightInd w:val="0"/>
        <w:snapToGrid w:val="0"/>
        <w:spacing w:line="600" w:lineRule="exact"/>
        <w:ind w:firstLineChars="100" w:firstLine="320"/>
        <w:rPr>
          <w:rFonts w:ascii="方正仿宋简体" w:eastAsia="方正仿宋简体" w:hAnsi="宋体" w:cs="仿宋_GB2312"/>
          <w:color w:val="000000"/>
          <w:sz w:val="32"/>
          <w:szCs w:val="32"/>
        </w:rPr>
      </w:pPr>
    </w:p>
    <w:p w:rsidR="00DA44CC" w:rsidRDefault="00DA44CC">
      <w:pPr>
        <w:adjustRightInd w:val="0"/>
        <w:snapToGrid w:val="0"/>
        <w:spacing w:line="600" w:lineRule="exact"/>
        <w:jc w:val="center"/>
        <w:rPr>
          <w:rFonts w:ascii="方正小标宋简体" w:eastAsia="方正小标宋简体" w:hAnsi="宋体" w:cs="方正小标宋简体"/>
          <w:color w:val="000000"/>
          <w:sz w:val="44"/>
          <w:szCs w:val="44"/>
        </w:rPr>
        <w:sectPr w:rsidR="00DA44CC">
          <w:footerReference w:type="even" r:id="rId9"/>
          <w:footerReference w:type="default" r:id="rId10"/>
          <w:pgSz w:w="11906" w:h="16838"/>
          <w:pgMar w:top="2155" w:right="1474" w:bottom="2041" w:left="1588" w:header="851" w:footer="1587" w:gutter="0"/>
          <w:cols w:space="0"/>
          <w:docGrid w:type="linesAndChars" w:linePitch="312"/>
        </w:sectPr>
      </w:pPr>
    </w:p>
    <w:p w:rsidR="00DA44CC" w:rsidRDefault="00C53A1B">
      <w:pPr>
        <w:adjustRightInd w:val="0"/>
        <w:snapToGrid w:val="0"/>
        <w:spacing w:line="600" w:lineRule="exact"/>
        <w:jc w:val="center"/>
        <w:rPr>
          <w:rFonts w:ascii="方正小标宋简体" w:eastAsia="方正小标宋简体" w:hAnsi="宋体" w:cs="方正小标宋简体"/>
          <w:color w:val="000000"/>
          <w:sz w:val="44"/>
          <w:szCs w:val="44"/>
        </w:rPr>
      </w:pPr>
      <w:r>
        <w:rPr>
          <w:rFonts w:ascii="方正小标宋简体" w:eastAsia="方正小标宋简体" w:hAnsi="宋体" w:cs="方正小标宋简体" w:hint="eastAsia"/>
          <w:color w:val="000000"/>
          <w:sz w:val="44"/>
          <w:szCs w:val="44"/>
        </w:rPr>
        <w:lastRenderedPageBreak/>
        <w:t>济宁市中心城区控制性详细规划</w:t>
      </w:r>
    </w:p>
    <w:p w:rsidR="00DA44CC" w:rsidRDefault="00C53A1B">
      <w:pPr>
        <w:adjustRightInd w:val="0"/>
        <w:snapToGrid w:val="0"/>
        <w:spacing w:line="600" w:lineRule="exact"/>
        <w:jc w:val="center"/>
        <w:rPr>
          <w:rFonts w:ascii="方正小标宋简体" w:eastAsia="方正小标宋简体" w:hAnsi="宋体" w:cs="方正小标宋简体"/>
          <w:color w:val="000000"/>
          <w:sz w:val="44"/>
          <w:szCs w:val="44"/>
        </w:rPr>
      </w:pPr>
      <w:r>
        <w:rPr>
          <w:rFonts w:ascii="方正小标宋简体" w:eastAsia="方正小标宋简体" w:hAnsi="宋体" w:cs="方正小标宋简体" w:hint="eastAsia"/>
          <w:color w:val="000000"/>
          <w:sz w:val="44"/>
          <w:szCs w:val="44"/>
        </w:rPr>
        <w:t>执行通则（试行）</w:t>
      </w:r>
    </w:p>
    <w:p w:rsidR="00DA44CC" w:rsidRDefault="00DA44CC">
      <w:pPr>
        <w:adjustRightInd w:val="0"/>
        <w:snapToGrid w:val="0"/>
        <w:spacing w:line="600" w:lineRule="exact"/>
        <w:ind w:firstLineChars="200" w:firstLine="640"/>
        <w:rPr>
          <w:rFonts w:ascii="方正仿宋简体" w:eastAsia="方正仿宋简体" w:hAnsi="宋体" w:cs="仿宋_GB2312"/>
          <w:color w:val="000000"/>
          <w:sz w:val="32"/>
          <w:szCs w:val="32"/>
        </w:rPr>
      </w:pPr>
    </w:p>
    <w:p w:rsidR="00DA44CC" w:rsidRDefault="00C53A1B">
      <w:pPr>
        <w:adjustRightInd w:val="0"/>
        <w:snapToGrid w:val="0"/>
        <w:spacing w:line="600" w:lineRule="exact"/>
        <w:jc w:val="center"/>
        <w:rPr>
          <w:rFonts w:ascii="方正黑体简体" w:eastAsia="方正黑体简体" w:hAnsi="宋体" w:cs="方正小标宋简体"/>
          <w:color w:val="000000"/>
          <w:sz w:val="32"/>
          <w:szCs w:val="32"/>
        </w:rPr>
      </w:pPr>
      <w:r>
        <w:rPr>
          <w:rFonts w:ascii="方正黑体简体" w:eastAsia="方正黑体简体" w:hAnsi="宋体" w:cs="方正小标宋简体" w:hint="eastAsia"/>
          <w:color w:val="000000"/>
          <w:sz w:val="32"/>
          <w:szCs w:val="32"/>
        </w:rPr>
        <w:t>第一章  总  则</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第一条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黑体简体" w:eastAsia="方正黑体简体" w:hAnsi="宋体" w:cs="黑体" w:hint="eastAsia"/>
          <w:color w:val="000000"/>
          <w:sz w:val="32"/>
          <w:szCs w:val="32"/>
        </w:rPr>
        <w:t>编制目的</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为统一和规范本市中心城区控制性详细规划（以下简称“控规”）成果的实施执行和规划管理，根据国家、省、市有关法律、法规和规定，针对本市实际情况，制定本执行通则。</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第二条</w:t>
      </w:r>
      <w:r>
        <w:rPr>
          <w:rFonts w:ascii="方正仿宋简体" w:eastAsia="方正仿宋简体" w:hAnsi="宋体" w:cs="仿宋_GB2312" w:hint="eastAsia"/>
          <w:color w:val="000000"/>
          <w:sz w:val="32"/>
          <w:szCs w:val="32"/>
        </w:rPr>
        <w:t xml:space="preserve"> </w:t>
      </w:r>
      <w:r>
        <w:rPr>
          <w:rFonts w:ascii="方正仿宋简体" w:eastAsia="方正仿宋简体" w:hAnsi="宋体" w:cs="仿宋_GB2312"/>
          <w:color w:val="000000"/>
          <w:sz w:val="32"/>
          <w:szCs w:val="32"/>
        </w:rPr>
        <w:t xml:space="preserve"> </w:t>
      </w:r>
      <w:r>
        <w:rPr>
          <w:rFonts w:ascii="方正黑体简体" w:eastAsia="方正黑体简体" w:hAnsi="宋体" w:cs="黑体" w:hint="eastAsia"/>
          <w:color w:val="000000"/>
          <w:sz w:val="32"/>
          <w:szCs w:val="32"/>
        </w:rPr>
        <w:t>管理效力</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本通则是控规法定成果的组成部分，是执行片区控规普遍性规定，是自然资源和规划主管部门实施规划管理、作出规划行政许可的依据。</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 xml:space="preserve">第三条 </w:t>
      </w:r>
      <w:r>
        <w:rPr>
          <w:rFonts w:ascii="方正黑体简体" w:eastAsia="方正黑体简体" w:hAnsi="宋体" w:cs="黑体"/>
          <w:color w:val="000000"/>
          <w:sz w:val="32"/>
          <w:szCs w:val="32"/>
        </w:rPr>
        <w:t xml:space="preserve"> </w:t>
      </w:r>
      <w:r>
        <w:rPr>
          <w:rFonts w:ascii="方正黑体简体" w:eastAsia="方正黑体简体" w:hAnsi="宋体" w:cs="黑体" w:hint="eastAsia"/>
          <w:color w:val="000000"/>
          <w:sz w:val="32"/>
          <w:szCs w:val="32"/>
        </w:rPr>
        <w:t>管理要求</w:t>
      </w:r>
    </w:p>
    <w:p w:rsidR="00DA44CC" w:rsidRDefault="00797C55">
      <w:pPr>
        <w:adjustRightInd w:val="0"/>
        <w:snapToGrid w:val="0"/>
        <w:spacing w:line="600" w:lineRule="exact"/>
        <w:ind w:firstLineChars="200" w:firstLine="640"/>
        <w:rPr>
          <w:rFonts w:ascii="方正仿宋简体" w:eastAsia="方正仿宋简体" w:hAnsi="宋体" w:cs="仿宋_GB2312"/>
          <w:color w:val="000000"/>
          <w:sz w:val="32"/>
          <w:szCs w:val="32"/>
        </w:rPr>
      </w:pPr>
      <w:r w:rsidRPr="007852A6">
        <w:rPr>
          <w:rFonts w:ascii="方正仿宋简体" w:eastAsia="方正仿宋简体" w:hAnsi="宋体" w:cs="仿宋_GB2312" w:hint="eastAsia"/>
          <w:sz w:val="32"/>
          <w:szCs w:val="32"/>
        </w:rPr>
        <w:t>控规包括片区控规和街区控规两种方式</w:t>
      </w:r>
      <w:r w:rsidR="00C53A1B" w:rsidRPr="007852A6">
        <w:rPr>
          <w:rFonts w:ascii="方正仿宋简体" w:eastAsia="方正仿宋简体" w:hAnsi="宋体" w:cs="仿宋_GB2312" w:hint="eastAsia"/>
          <w:sz w:val="32"/>
          <w:szCs w:val="32"/>
        </w:rPr>
        <w:t>，均为规划编制和管理的基本单元。在规划管理中，自然资源和规划主管部门可以结合项目对片区控规的弹性引导内容进行深化、</w:t>
      </w:r>
      <w:r w:rsidR="00C53A1B">
        <w:rPr>
          <w:rFonts w:ascii="方正仿宋简体" w:eastAsia="方正仿宋简体" w:hAnsi="宋体" w:cs="仿宋_GB2312" w:hint="eastAsia"/>
          <w:color w:val="000000"/>
          <w:sz w:val="32"/>
          <w:szCs w:val="32"/>
        </w:rPr>
        <w:t>调整。对片区控规弹性引导内容进行深化的，可通过规划论证对深化内容进行深入研究，并履行规划论证的审查程序。对片区控规弹性引导内容进行调整的，应编制街区控规对调整内容进行深入研究，并履行街区控规编制审批程序。对片区控规刚性控制内容进行修改的，应根据其影响范围和系统关联性，启动街区控规编制或片区控规修</w:t>
      </w:r>
      <w:r w:rsidR="00C53A1B">
        <w:rPr>
          <w:rFonts w:ascii="方正仿宋简体" w:eastAsia="方正仿宋简体" w:hAnsi="宋体" w:cs="仿宋_GB2312" w:hint="eastAsia"/>
          <w:color w:val="000000"/>
          <w:sz w:val="32"/>
          <w:szCs w:val="32"/>
        </w:rPr>
        <w:lastRenderedPageBreak/>
        <w:t>编，并履行相应的编制审批程序。</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第四条  与专项规划的关系</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sidRPr="00663DD0">
        <w:rPr>
          <w:rFonts w:ascii="方正仿宋简体" w:eastAsia="方正仿宋简体" w:hAnsi="宋体" w:cs="仿宋_GB2312" w:hint="eastAsia"/>
          <w:sz w:val="32"/>
          <w:szCs w:val="32"/>
        </w:rPr>
        <w:t>控规审批后新</w:t>
      </w:r>
      <w:r>
        <w:rPr>
          <w:rFonts w:ascii="方正仿宋简体" w:eastAsia="方正仿宋简体" w:hAnsi="宋体" w:cs="仿宋_GB2312" w:hint="eastAsia"/>
          <w:color w:val="000000"/>
          <w:sz w:val="32"/>
          <w:szCs w:val="32"/>
        </w:rPr>
        <w:t>编的城市专项规划应与控规相互衔接、校核，统筹作为规划管理的依据。</w:t>
      </w:r>
    </w:p>
    <w:p w:rsidR="00DA44CC" w:rsidRDefault="00DA44CC">
      <w:pPr>
        <w:adjustRightInd w:val="0"/>
        <w:snapToGrid w:val="0"/>
        <w:spacing w:line="600" w:lineRule="exact"/>
        <w:ind w:firstLineChars="200" w:firstLine="640"/>
        <w:rPr>
          <w:rFonts w:ascii="方正仿宋简体" w:eastAsia="方正仿宋简体" w:hAnsi="宋体" w:cs="仿宋_GB2312"/>
          <w:color w:val="000000"/>
          <w:sz w:val="32"/>
          <w:szCs w:val="32"/>
        </w:rPr>
      </w:pPr>
    </w:p>
    <w:p w:rsidR="00DA44CC" w:rsidRDefault="00C53A1B">
      <w:pPr>
        <w:adjustRightInd w:val="0"/>
        <w:snapToGrid w:val="0"/>
        <w:spacing w:line="600" w:lineRule="exact"/>
        <w:jc w:val="center"/>
        <w:rPr>
          <w:rFonts w:ascii="方正黑体简体" w:eastAsia="方正黑体简体" w:hAnsi="宋体" w:cs="方正小标宋简体"/>
          <w:color w:val="000000"/>
          <w:sz w:val="32"/>
          <w:szCs w:val="32"/>
        </w:rPr>
      </w:pPr>
      <w:r>
        <w:rPr>
          <w:rFonts w:ascii="方正黑体简体" w:eastAsia="方正黑体简体" w:hAnsi="宋体" w:cs="方正小标宋简体" w:hint="eastAsia"/>
          <w:color w:val="000000"/>
          <w:sz w:val="32"/>
          <w:szCs w:val="32"/>
        </w:rPr>
        <w:t>第二章  土地使用控制</w:t>
      </w:r>
    </w:p>
    <w:p w:rsidR="00DA44CC" w:rsidRDefault="00DA44CC">
      <w:pPr>
        <w:adjustRightInd w:val="0"/>
        <w:snapToGrid w:val="0"/>
        <w:spacing w:line="600" w:lineRule="exact"/>
        <w:jc w:val="center"/>
        <w:rPr>
          <w:rFonts w:ascii="方正黑体简体" w:eastAsia="方正黑体简体" w:hAnsi="宋体" w:cs="方正小标宋简体"/>
          <w:color w:val="000000"/>
          <w:sz w:val="32"/>
          <w:szCs w:val="32"/>
        </w:rPr>
      </w:pPr>
    </w:p>
    <w:p w:rsidR="00DA44CC" w:rsidRDefault="00C53A1B">
      <w:pPr>
        <w:adjustRightInd w:val="0"/>
        <w:snapToGrid w:val="0"/>
        <w:spacing w:line="60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第一节  一般规定</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第五条  土地使用原则</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（1）控规中的规划土地使用性质是对未来土地使用的控制与引导，土地或建筑物的现有合法用途与规划不符的，无须做出更正，直至用途有所改变为止。</w:t>
      </w:r>
      <w:r w:rsidRPr="007852A6">
        <w:rPr>
          <w:rFonts w:ascii="方正仿宋简体" w:eastAsia="方正仿宋简体" w:hAnsi="宋体" w:cs="仿宋_GB2312" w:hint="eastAsia"/>
          <w:sz w:val="32"/>
          <w:szCs w:val="32"/>
        </w:rPr>
        <w:t>确需</w:t>
      </w:r>
      <w:r w:rsidR="00797C55" w:rsidRPr="007852A6">
        <w:rPr>
          <w:rFonts w:ascii="方正仿宋简体" w:eastAsia="方正仿宋简体" w:hAnsi="宋体" w:cs="仿宋_GB2312" w:hint="eastAsia"/>
          <w:sz w:val="32"/>
          <w:szCs w:val="32"/>
        </w:rPr>
        <w:t>按现状条件</w:t>
      </w:r>
      <w:r w:rsidRPr="007852A6">
        <w:rPr>
          <w:rFonts w:ascii="方正仿宋简体" w:eastAsia="方正仿宋简体" w:hAnsi="宋体" w:cs="仿宋_GB2312" w:hint="eastAsia"/>
          <w:sz w:val="32"/>
          <w:szCs w:val="32"/>
        </w:rPr>
        <w:t>改造</w:t>
      </w:r>
      <w:r w:rsidR="00797C55" w:rsidRPr="007852A6">
        <w:rPr>
          <w:rFonts w:ascii="方正仿宋简体" w:eastAsia="方正仿宋简体" w:hAnsi="宋体" w:cs="仿宋_GB2312" w:hint="eastAsia"/>
          <w:sz w:val="32"/>
          <w:szCs w:val="32"/>
        </w:rPr>
        <w:t>的</w:t>
      </w:r>
      <w:r w:rsidRPr="007852A6">
        <w:rPr>
          <w:rFonts w:ascii="方正仿宋简体" w:eastAsia="方正仿宋简体" w:hAnsi="宋体" w:cs="仿宋_GB2312" w:hint="eastAsia"/>
          <w:sz w:val="32"/>
          <w:szCs w:val="32"/>
        </w:rPr>
        <w:t>地块，其各项用地控制指标不得突破原有合法的土地用地、建设规模及相关用地控制指标，并符合城市发展、环保、消防等要求的前提下，在企业出具承诺书，将来政府收储及改造时需无条件按照原现状进行依法补偿，经自然资源和规划主管部门组织论证并报市</w:t>
      </w:r>
      <w:r>
        <w:rPr>
          <w:rFonts w:ascii="方正仿宋简体" w:eastAsia="方正仿宋简体" w:hAnsi="宋体" w:cs="仿宋_GB2312" w:hint="eastAsia"/>
          <w:color w:val="000000"/>
          <w:sz w:val="32"/>
          <w:szCs w:val="32"/>
        </w:rPr>
        <w:t>政府同意后实施。</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（2）按照环境相容、公益保障、结构平衡、景观协调等原则，在规划实施过程中，符合控规确定的用地性质的基础上，可进行用</w:t>
      </w:r>
      <w:r w:rsidRPr="007852A6">
        <w:rPr>
          <w:rFonts w:ascii="方正仿宋简体" w:eastAsia="方正仿宋简体" w:hAnsi="宋体" w:cs="仿宋_GB2312" w:hint="eastAsia"/>
          <w:color w:val="000000"/>
          <w:sz w:val="32"/>
          <w:szCs w:val="32"/>
        </w:rPr>
        <w:t>地适建</w:t>
      </w:r>
      <w:r w:rsidR="00526524" w:rsidRPr="007852A6">
        <w:rPr>
          <w:rFonts w:ascii="方正仿宋简体" w:eastAsia="方正仿宋简体" w:hAnsi="宋体" w:cs="仿宋_GB2312" w:hint="eastAsia"/>
          <w:color w:val="000000"/>
          <w:sz w:val="32"/>
          <w:szCs w:val="32"/>
        </w:rPr>
        <w:t>性</w:t>
      </w:r>
      <w:r w:rsidRPr="007852A6">
        <w:rPr>
          <w:rFonts w:ascii="方正仿宋简体" w:eastAsia="方正仿宋简体" w:hAnsi="宋体" w:cs="仿宋_GB2312" w:hint="eastAsia"/>
          <w:color w:val="000000"/>
          <w:sz w:val="32"/>
          <w:szCs w:val="32"/>
        </w:rPr>
        <w:t>、兼容</w:t>
      </w:r>
      <w:r w:rsidR="00526524" w:rsidRPr="007852A6">
        <w:rPr>
          <w:rFonts w:ascii="方正仿宋简体" w:eastAsia="方正仿宋简体" w:hAnsi="宋体" w:cs="仿宋_GB2312" w:hint="eastAsia"/>
          <w:color w:val="000000"/>
          <w:sz w:val="32"/>
          <w:szCs w:val="32"/>
        </w:rPr>
        <w:t>性利用</w:t>
      </w:r>
      <w:r w:rsidRPr="007852A6">
        <w:rPr>
          <w:rFonts w:ascii="方正仿宋简体" w:eastAsia="方正仿宋简体" w:hAnsi="宋体" w:cs="仿宋_GB2312" w:hint="eastAsia"/>
          <w:color w:val="000000"/>
          <w:sz w:val="32"/>
          <w:szCs w:val="32"/>
        </w:rPr>
        <w:t>，特殊</w:t>
      </w:r>
      <w:r>
        <w:rPr>
          <w:rFonts w:ascii="方正仿宋简体" w:eastAsia="方正仿宋简体" w:hAnsi="宋体" w:cs="仿宋_GB2312" w:hint="eastAsia"/>
          <w:color w:val="000000"/>
          <w:sz w:val="32"/>
          <w:szCs w:val="32"/>
        </w:rPr>
        <w:t>区域可采用混合用地的方式进行空间复合功能开发。鼓励各类用地性质与公共服务设施、</w:t>
      </w:r>
      <w:r>
        <w:rPr>
          <w:rFonts w:ascii="宋体" w:hAnsi="宋体" w:cs="宋体" w:hint="eastAsia"/>
          <w:color w:val="000000"/>
          <w:sz w:val="32"/>
          <w:szCs w:val="32"/>
        </w:rPr>
        <w:t>巿</w:t>
      </w:r>
      <w:r>
        <w:rPr>
          <w:rFonts w:ascii="方正仿宋简体" w:eastAsia="方正仿宋简体" w:hAnsi="方正仿宋简体" w:cs="方正仿宋简体" w:hint="eastAsia"/>
          <w:color w:val="000000"/>
          <w:sz w:val="32"/>
          <w:szCs w:val="32"/>
        </w:rPr>
        <w:lastRenderedPageBreak/>
        <w:t>政公用设施用地、</w:t>
      </w:r>
      <w:r w:rsidRPr="007852A6">
        <w:rPr>
          <w:rFonts w:ascii="方正仿宋简体" w:eastAsia="方正仿宋简体" w:hAnsi="方正仿宋简体" w:cs="方正仿宋简体" w:hint="eastAsia"/>
          <w:sz w:val="32"/>
          <w:szCs w:val="32"/>
        </w:rPr>
        <w:t>交通设施</w:t>
      </w:r>
      <w:r w:rsidR="00526524" w:rsidRPr="007852A6">
        <w:rPr>
          <w:rFonts w:ascii="方正仿宋简体" w:eastAsia="方正仿宋简体" w:hAnsi="方正仿宋简体" w:cs="方正仿宋简体" w:hint="eastAsia"/>
          <w:sz w:val="32"/>
          <w:szCs w:val="32"/>
        </w:rPr>
        <w:t>等</w:t>
      </w:r>
      <w:r w:rsidRPr="007852A6">
        <w:rPr>
          <w:rFonts w:ascii="方正仿宋简体" w:eastAsia="方正仿宋简体" w:hAnsi="方正仿宋简体" w:cs="方正仿宋简体" w:hint="eastAsia"/>
          <w:sz w:val="32"/>
          <w:szCs w:val="32"/>
        </w:rPr>
        <w:t>用地的混合使</w:t>
      </w:r>
      <w:r>
        <w:rPr>
          <w:rFonts w:ascii="方正仿宋简体" w:eastAsia="方正仿宋简体" w:hAnsi="方正仿宋简体" w:cs="方正仿宋简体" w:hint="eastAsia"/>
          <w:color w:val="000000"/>
          <w:sz w:val="32"/>
          <w:szCs w:val="32"/>
        </w:rPr>
        <w:t>用。鼓励利用地下空间增加用地混合性</w:t>
      </w:r>
      <w:r>
        <w:rPr>
          <w:rFonts w:ascii="方正仿宋简体" w:eastAsia="方正仿宋简体" w:hAnsi="宋体" w:cs="仿宋_GB2312" w:hint="eastAsia"/>
          <w:color w:val="000000"/>
          <w:sz w:val="32"/>
          <w:szCs w:val="32"/>
        </w:rPr>
        <w:t>。</w:t>
      </w:r>
    </w:p>
    <w:p w:rsidR="00D43F73" w:rsidRDefault="00D43F73">
      <w:pPr>
        <w:adjustRightInd w:val="0"/>
        <w:snapToGrid w:val="0"/>
        <w:spacing w:line="600" w:lineRule="exact"/>
        <w:jc w:val="center"/>
        <w:rPr>
          <w:rFonts w:ascii="方正黑体简体" w:eastAsia="方正黑体简体" w:hAnsi="宋体" w:cs="黑体"/>
          <w:color w:val="000000"/>
          <w:sz w:val="32"/>
          <w:szCs w:val="32"/>
        </w:rPr>
      </w:pPr>
    </w:p>
    <w:p w:rsidR="00DA44CC" w:rsidRDefault="00C53A1B">
      <w:pPr>
        <w:adjustRightInd w:val="0"/>
        <w:snapToGrid w:val="0"/>
        <w:spacing w:line="60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第二节  土地使用分类</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第六条  土地使用分类</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依据《城市用地分类与规划建设用地标准》（GB50137-2011），结合本市实际情况，对城市建设用地进行细化。其中中小学用地细化为高中用地（A33g）、初中用地（A33c）、小学用地（A33x）、九年一贯制学校（A33j）、综合类学校用地（A33z）和其他教育用地（A39）；公共管理与公共服务用地中增加十五分钟生活圈居住区配套设施用地（AR），包括生活圈行政办公用地（AR1）、生活圈文化设施用地（AR2）、生活圈体育用地（AR4）、生活圈医疗卫生用地（AR5）和生活圈社会福利用地（AR6）；商业服务业设施用地中增加商住混合用地（BR）；公园绿地（G1）细化为综合公园（G11）、社区公园（G12）、专类公园（G13）和游园（G14）；工业用地中增加新型产业用地（M0）。详见表2-1。</w:t>
      </w:r>
    </w:p>
    <w:p w:rsidR="00DA44CC" w:rsidRDefault="00C53A1B">
      <w:pPr>
        <w:adjustRightInd w:val="0"/>
        <w:ind w:left="703"/>
        <w:jc w:val="center"/>
      </w:pPr>
      <w:r>
        <w:rPr>
          <w:rFonts w:ascii="黑体" w:eastAsia="黑体" w:hAnsi="黑体" w:hint="eastAsia"/>
          <w:bCs/>
          <w:szCs w:val="22"/>
        </w:rPr>
        <w:t>表2-1 城市建设用地细化与新增用地代码表</w:t>
      </w:r>
    </w:p>
    <w:tbl>
      <w:tblPr>
        <w:tblW w:w="92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89"/>
        <w:gridCol w:w="42"/>
        <w:gridCol w:w="769"/>
        <w:gridCol w:w="769"/>
        <w:gridCol w:w="1690"/>
        <w:gridCol w:w="5257"/>
      </w:tblGrid>
      <w:tr w:rsidR="00DA44CC">
        <w:trPr>
          <w:cantSplit/>
        </w:trPr>
        <w:tc>
          <w:tcPr>
            <w:tcW w:w="2269" w:type="dxa"/>
            <w:gridSpan w:val="4"/>
            <w:vAlign w:val="center"/>
          </w:tcPr>
          <w:p w:rsidR="00DA44CC" w:rsidRDefault="00C53A1B">
            <w:pPr>
              <w:adjustRightInd w:val="0"/>
              <w:snapToGrid w:val="0"/>
              <w:spacing w:line="264" w:lineRule="auto"/>
              <w:jc w:val="center"/>
              <w:rPr>
                <w:rFonts w:ascii="Arial" w:eastAsia="黑体" w:hAnsi="Arial" w:cs="Arial"/>
                <w:sz w:val="18"/>
                <w:szCs w:val="18"/>
              </w:rPr>
            </w:pPr>
            <w:r>
              <w:rPr>
                <w:rFonts w:ascii="Arial" w:eastAsia="黑体" w:hAnsi="Arial" w:cs="Arial"/>
                <w:sz w:val="18"/>
                <w:szCs w:val="18"/>
              </w:rPr>
              <w:t>类别代码</w:t>
            </w:r>
          </w:p>
        </w:tc>
        <w:tc>
          <w:tcPr>
            <w:tcW w:w="1690" w:type="dxa"/>
            <w:vMerge w:val="restart"/>
            <w:vAlign w:val="center"/>
          </w:tcPr>
          <w:p w:rsidR="00DA44CC" w:rsidRDefault="00C53A1B">
            <w:pPr>
              <w:adjustRightInd w:val="0"/>
              <w:snapToGrid w:val="0"/>
              <w:spacing w:line="264" w:lineRule="auto"/>
              <w:jc w:val="center"/>
              <w:rPr>
                <w:rFonts w:ascii="Arial" w:eastAsia="黑体" w:hAnsi="Arial" w:cs="Arial"/>
                <w:sz w:val="18"/>
                <w:szCs w:val="18"/>
              </w:rPr>
            </w:pPr>
            <w:r>
              <w:rPr>
                <w:rFonts w:ascii="Arial" w:eastAsia="黑体" w:hAnsi="Arial" w:cs="Arial"/>
                <w:sz w:val="18"/>
                <w:szCs w:val="18"/>
              </w:rPr>
              <w:t>类别名称</w:t>
            </w:r>
          </w:p>
        </w:tc>
        <w:tc>
          <w:tcPr>
            <w:tcW w:w="5257" w:type="dxa"/>
            <w:vMerge w:val="restart"/>
            <w:vAlign w:val="center"/>
          </w:tcPr>
          <w:p w:rsidR="00DA44CC" w:rsidRDefault="00C53A1B">
            <w:pPr>
              <w:adjustRightInd w:val="0"/>
              <w:snapToGrid w:val="0"/>
              <w:spacing w:line="264" w:lineRule="auto"/>
              <w:jc w:val="center"/>
              <w:rPr>
                <w:rFonts w:ascii="Arial" w:eastAsia="黑体" w:hAnsi="Arial" w:cs="Arial"/>
                <w:sz w:val="18"/>
                <w:szCs w:val="18"/>
              </w:rPr>
            </w:pPr>
            <w:r>
              <w:rPr>
                <w:rFonts w:ascii="Arial" w:eastAsia="黑体" w:hAnsi="Arial" w:cs="Arial"/>
                <w:sz w:val="18"/>
                <w:szCs w:val="18"/>
              </w:rPr>
              <w:t>范围</w:t>
            </w:r>
          </w:p>
        </w:tc>
      </w:tr>
      <w:tr w:rsidR="00DA44CC">
        <w:trPr>
          <w:cantSplit/>
        </w:trPr>
        <w:tc>
          <w:tcPr>
            <w:tcW w:w="731" w:type="dxa"/>
            <w:gridSpan w:val="2"/>
            <w:vAlign w:val="center"/>
          </w:tcPr>
          <w:p w:rsidR="00DA44CC" w:rsidRDefault="00C53A1B">
            <w:pPr>
              <w:adjustRightInd w:val="0"/>
              <w:snapToGrid w:val="0"/>
              <w:spacing w:line="264" w:lineRule="auto"/>
              <w:jc w:val="center"/>
              <w:rPr>
                <w:rFonts w:ascii="Arial" w:eastAsia="黑体" w:hAnsi="Arial" w:cs="Arial"/>
                <w:sz w:val="18"/>
                <w:szCs w:val="18"/>
              </w:rPr>
            </w:pPr>
            <w:r>
              <w:rPr>
                <w:rFonts w:ascii="Arial" w:eastAsia="黑体" w:hAnsi="Arial" w:cs="Arial"/>
                <w:sz w:val="18"/>
                <w:szCs w:val="18"/>
              </w:rPr>
              <w:t>大类</w:t>
            </w:r>
          </w:p>
        </w:tc>
        <w:tc>
          <w:tcPr>
            <w:tcW w:w="769" w:type="dxa"/>
            <w:vAlign w:val="center"/>
          </w:tcPr>
          <w:p w:rsidR="00DA44CC" w:rsidRDefault="00C53A1B">
            <w:pPr>
              <w:adjustRightInd w:val="0"/>
              <w:snapToGrid w:val="0"/>
              <w:spacing w:line="264" w:lineRule="auto"/>
              <w:jc w:val="center"/>
              <w:rPr>
                <w:rFonts w:ascii="Arial" w:eastAsia="黑体" w:hAnsi="Arial" w:cs="Arial"/>
                <w:sz w:val="18"/>
                <w:szCs w:val="18"/>
              </w:rPr>
            </w:pPr>
            <w:r>
              <w:rPr>
                <w:rFonts w:ascii="Arial" w:eastAsia="黑体" w:hAnsi="Arial" w:cs="Arial"/>
                <w:sz w:val="18"/>
                <w:szCs w:val="18"/>
              </w:rPr>
              <w:t>中类</w:t>
            </w:r>
          </w:p>
        </w:tc>
        <w:tc>
          <w:tcPr>
            <w:tcW w:w="769" w:type="dxa"/>
            <w:vAlign w:val="center"/>
          </w:tcPr>
          <w:p w:rsidR="00DA44CC" w:rsidRDefault="00C53A1B">
            <w:pPr>
              <w:adjustRightInd w:val="0"/>
              <w:snapToGrid w:val="0"/>
              <w:spacing w:line="264" w:lineRule="auto"/>
              <w:jc w:val="center"/>
              <w:rPr>
                <w:rFonts w:ascii="Arial" w:eastAsia="黑体" w:hAnsi="Arial" w:cs="Arial"/>
                <w:sz w:val="18"/>
                <w:szCs w:val="18"/>
              </w:rPr>
            </w:pPr>
            <w:r>
              <w:rPr>
                <w:rFonts w:ascii="Arial" w:eastAsia="黑体" w:hAnsi="Arial" w:cs="Arial"/>
                <w:sz w:val="18"/>
                <w:szCs w:val="18"/>
              </w:rPr>
              <w:t>小类</w:t>
            </w:r>
          </w:p>
        </w:tc>
        <w:tc>
          <w:tcPr>
            <w:tcW w:w="1690" w:type="dxa"/>
            <w:vMerge/>
            <w:vAlign w:val="center"/>
          </w:tcPr>
          <w:p w:rsidR="00DA44CC" w:rsidRDefault="00DA44CC">
            <w:pPr>
              <w:adjustRightInd w:val="0"/>
              <w:snapToGrid w:val="0"/>
              <w:spacing w:line="264" w:lineRule="auto"/>
              <w:jc w:val="center"/>
              <w:rPr>
                <w:rFonts w:ascii="Arial" w:eastAsia="黑体" w:hAnsi="Arial" w:cs="Arial"/>
                <w:sz w:val="18"/>
                <w:szCs w:val="18"/>
              </w:rPr>
            </w:pPr>
          </w:p>
        </w:tc>
        <w:tc>
          <w:tcPr>
            <w:tcW w:w="5257" w:type="dxa"/>
            <w:vMerge/>
            <w:vAlign w:val="center"/>
          </w:tcPr>
          <w:p w:rsidR="00DA44CC" w:rsidRDefault="00DA44CC">
            <w:pPr>
              <w:adjustRightInd w:val="0"/>
              <w:snapToGrid w:val="0"/>
              <w:spacing w:line="264" w:lineRule="auto"/>
              <w:jc w:val="center"/>
              <w:rPr>
                <w:rFonts w:ascii="Arial" w:eastAsia="黑体" w:hAnsi="Arial" w:cs="Arial"/>
                <w:sz w:val="18"/>
                <w:szCs w:val="18"/>
              </w:rPr>
            </w:pPr>
          </w:p>
        </w:tc>
      </w:tr>
      <w:tr w:rsidR="00DA44CC">
        <w:trPr>
          <w:cantSplit/>
        </w:trPr>
        <w:tc>
          <w:tcPr>
            <w:tcW w:w="2269" w:type="dxa"/>
            <w:gridSpan w:val="4"/>
            <w:vAlign w:val="center"/>
          </w:tcPr>
          <w:p w:rsidR="00DA44CC" w:rsidRDefault="00C53A1B">
            <w:pPr>
              <w:adjustRightInd w:val="0"/>
              <w:snapToGrid w:val="0"/>
              <w:spacing w:line="264" w:lineRule="auto"/>
              <w:rPr>
                <w:rFonts w:ascii="Arial" w:hAnsi="Arial" w:cs="Arial"/>
                <w:sz w:val="18"/>
                <w:szCs w:val="18"/>
              </w:rPr>
            </w:pPr>
            <w:r>
              <w:rPr>
                <w:rFonts w:ascii="Arial" w:hAnsi="Arial" w:cs="Arial"/>
                <w:sz w:val="18"/>
                <w:szCs w:val="18"/>
              </w:rPr>
              <w:t>A</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公共管理与公共服务用地</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行政、文化、教育、体育、卫生等机构和设施的用地，不包括居住用地中的服务设施用地</w:t>
            </w:r>
          </w:p>
        </w:tc>
      </w:tr>
      <w:tr w:rsidR="00DA44CC">
        <w:trPr>
          <w:cantSplit/>
        </w:trPr>
        <w:tc>
          <w:tcPr>
            <w:tcW w:w="731" w:type="dxa"/>
            <w:gridSpan w:val="2"/>
            <w:vMerge w:val="restart"/>
            <w:vAlign w:val="center"/>
          </w:tcPr>
          <w:p w:rsidR="00DA44CC" w:rsidRDefault="00C53A1B">
            <w:pPr>
              <w:adjustRightInd w:val="0"/>
              <w:snapToGrid w:val="0"/>
              <w:spacing w:line="264" w:lineRule="auto"/>
              <w:rPr>
                <w:rFonts w:ascii="Arial" w:hAnsi="Arial" w:cs="Arial"/>
                <w:sz w:val="18"/>
                <w:szCs w:val="18"/>
              </w:rPr>
            </w:pPr>
            <w:r>
              <w:rPr>
                <w:rFonts w:ascii="Arial" w:eastAsia="黑体" w:hAnsi="Arial" w:cs="Arial" w:hint="eastAsia"/>
                <w:sz w:val="18"/>
                <w:szCs w:val="18"/>
              </w:rPr>
              <w:t>其中</w:t>
            </w:r>
          </w:p>
        </w:tc>
        <w:tc>
          <w:tcPr>
            <w:tcW w:w="1538" w:type="dxa"/>
            <w:gridSpan w:val="2"/>
            <w:vAlign w:val="center"/>
          </w:tcPr>
          <w:p w:rsidR="00DA44CC" w:rsidRDefault="00C53A1B">
            <w:pPr>
              <w:adjustRightInd w:val="0"/>
              <w:snapToGrid w:val="0"/>
              <w:spacing w:line="264" w:lineRule="auto"/>
              <w:rPr>
                <w:rFonts w:ascii="Arial" w:hAnsi="Arial" w:cs="Arial"/>
                <w:sz w:val="18"/>
                <w:szCs w:val="18"/>
              </w:rPr>
            </w:pPr>
            <w:r>
              <w:rPr>
                <w:rFonts w:ascii="Arial" w:hAnsi="Arial" w:cs="Arial"/>
                <w:sz w:val="18"/>
                <w:szCs w:val="18"/>
              </w:rPr>
              <w:t>A3</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教育科研用地</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高等院校、中等专业学校、中学、小学、科研事业单位等用地，包括为学校配建的独立地段的学生生活用地</w:t>
            </w:r>
          </w:p>
        </w:tc>
      </w:tr>
      <w:tr w:rsidR="00DA44CC">
        <w:trPr>
          <w:cantSplit/>
        </w:trPr>
        <w:tc>
          <w:tcPr>
            <w:tcW w:w="731" w:type="dxa"/>
            <w:gridSpan w:val="2"/>
            <w:vMerge/>
            <w:vAlign w:val="center"/>
          </w:tcPr>
          <w:p w:rsidR="00DA44CC" w:rsidRDefault="00DA44CC">
            <w:pPr>
              <w:adjustRightInd w:val="0"/>
              <w:snapToGrid w:val="0"/>
              <w:spacing w:line="264" w:lineRule="auto"/>
              <w:rPr>
                <w:rFonts w:ascii="Arial" w:hAnsi="Arial" w:cs="Arial"/>
                <w:sz w:val="18"/>
                <w:szCs w:val="18"/>
              </w:rPr>
            </w:pPr>
          </w:p>
        </w:tc>
        <w:tc>
          <w:tcPr>
            <w:tcW w:w="769" w:type="dxa"/>
            <w:vMerge w:val="restart"/>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hint="eastAsia"/>
                <w:sz w:val="18"/>
                <w:szCs w:val="18"/>
              </w:rPr>
              <w:t>其中</w:t>
            </w:r>
          </w:p>
        </w:tc>
        <w:tc>
          <w:tcPr>
            <w:tcW w:w="769" w:type="dxa"/>
            <w:vAlign w:val="center"/>
          </w:tcPr>
          <w:p w:rsidR="00DA44CC" w:rsidRDefault="00C53A1B">
            <w:pPr>
              <w:adjustRightInd w:val="0"/>
              <w:snapToGrid w:val="0"/>
              <w:spacing w:line="264" w:lineRule="auto"/>
              <w:rPr>
                <w:rFonts w:ascii="Arial" w:hAnsi="Arial" w:cs="Arial"/>
                <w:sz w:val="18"/>
                <w:szCs w:val="18"/>
              </w:rPr>
            </w:pPr>
            <w:r>
              <w:rPr>
                <w:rFonts w:ascii="Arial" w:hAnsi="Arial" w:cs="Arial"/>
                <w:sz w:val="18"/>
                <w:szCs w:val="18"/>
              </w:rPr>
              <w:t>A33g</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高级中学用地</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高中和寄宿制高中用地</w:t>
            </w:r>
          </w:p>
        </w:tc>
      </w:tr>
      <w:tr w:rsidR="00DA44CC">
        <w:trPr>
          <w:cantSplit/>
        </w:trPr>
        <w:tc>
          <w:tcPr>
            <w:tcW w:w="731" w:type="dxa"/>
            <w:gridSpan w:val="2"/>
            <w:vMerge/>
            <w:vAlign w:val="center"/>
          </w:tcPr>
          <w:p w:rsidR="00DA44CC" w:rsidRDefault="00DA44CC">
            <w:pPr>
              <w:adjustRightInd w:val="0"/>
              <w:snapToGrid w:val="0"/>
              <w:spacing w:line="264" w:lineRule="auto"/>
              <w:rPr>
                <w:rFonts w:ascii="Arial" w:hAnsi="Arial" w:cs="Arial"/>
                <w:sz w:val="18"/>
                <w:szCs w:val="18"/>
              </w:rPr>
            </w:pPr>
          </w:p>
        </w:tc>
        <w:tc>
          <w:tcPr>
            <w:tcW w:w="769" w:type="dxa"/>
            <w:vMerge/>
            <w:vAlign w:val="center"/>
          </w:tcPr>
          <w:p w:rsidR="00DA44CC" w:rsidRDefault="00DA44CC">
            <w:pPr>
              <w:adjustRightInd w:val="0"/>
              <w:snapToGrid w:val="0"/>
              <w:spacing w:line="264" w:lineRule="auto"/>
              <w:rPr>
                <w:rFonts w:ascii="Arial" w:eastAsia="黑体" w:hAnsi="Arial" w:cs="Arial"/>
                <w:sz w:val="18"/>
                <w:szCs w:val="18"/>
              </w:rPr>
            </w:pPr>
          </w:p>
        </w:tc>
        <w:tc>
          <w:tcPr>
            <w:tcW w:w="769" w:type="dxa"/>
            <w:vAlign w:val="center"/>
          </w:tcPr>
          <w:p w:rsidR="00DA44CC" w:rsidRDefault="00C53A1B">
            <w:pPr>
              <w:adjustRightInd w:val="0"/>
              <w:snapToGrid w:val="0"/>
              <w:spacing w:line="264" w:lineRule="auto"/>
              <w:rPr>
                <w:rFonts w:ascii="Arial" w:hAnsi="Arial" w:cs="Arial"/>
                <w:sz w:val="18"/>
                <w:szCs w:val="18"/>
              </w:rPr>
            </w:pPr>
            <w:r>
              <w:rPr>
                <w:rFonts w:ascii="Arial" w:hAnsi="Arial" w:cs="Arial"/>
                <w:sz w:val="18"/>
                <w:szCs w:val="18"/>
              </w:rPr>
              <w:t>A33c</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初级中学用地</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初中和寄宿制初中用地</w:t>
            </w:r>
          </w:p>
        </w:tc>
      </w:tr>
      <w:tr w:rsidR="00DA44CC">
        <w:trPr>
          <w:cantSplit/>
        </w:trPr>
        <w:tc>
          <w:tcPr>
            <w:tcW w:w="731" w:type="dxa"/>
            <w:gridSpan w:val="2"/>
            <w:vMerge/>
            <w:vAlign w:val="center"/>
          </w:tcPr>
          <w:p w:rsidR="00DA44CC" w:rsidRDefault="00DA44CC">
            <w:pPr>
              <w:adjustRightInd w:val="0"/>
              <w:snapToGrid w:val="0"/>
              <w:spacing w:line="264" w:lineRule="auto"/>
              <w:rPr>
                <w:rFonts w:ascii="Arial" w:hAnsi="Arial" w:cs="Arial"/>
                <w:sz w:val="18"/>
                <w:szCs w:val="18"/>
              </w:rPr>
            </w:pPr>
          </w:p>
        </w:tc>
        <w:tc>
          <w:tcPr>
            <w:tcW w:w="769" w:type="dxa"/>
            <w:vMerge/>
            <w:vAlign w:val="center"/>
          </w:tcPr>
          <w:p w:rsidR="00DA44CC" w:rsidRDefault="00DA44CC">
            <w:pPr>
              <w:adjustRightInd w:val="0"/>
              <w:snapToGrid w:val="0"/>
              <w:spacing w:line="264" w:lineRule="auto"/>
              <w:rPr>
                <w:rFonts w:ascii="Arial" w:eastAsia="黑体" w:hAnsi="Arial" w:cs="Arial"/>
                <w:sz w:val="18"/>
                <w:szCs w:val="18"/>
              </w:rPr>
            </w:pPr>
          </w:p>
        </w:tc>
        <w:tc>
          <w:tcPr>
            <w:tcW w:w="769" w:type="dxa"/>
            <w:vAlign w:val="center"/>
          </w:tcPr>
          <w:p w:rsidR="00DA44CC" w:rsidRDefault="00C53A1B">
            <w:pPr>
              <w:adjustRightInd w:val="0"/>
              <w:snapToGrid w:val="0"/>
              <w:spacing w:line="264" w:lineRule="auto"/>
              <w:rPr>
                <w:rFonts w:ascii="Arial" w:hAnsi="Arial" w:cs="Arial"/>
                <w:sz w:val="18"/>
                <w:szCs w:val="18"/>
              </w:rPr>
            </w:pPr>
            <w:r>
              <w:rPr>
                <w:rFonts w:ascii="Arial" w:hAnsi="Arial" w:cs="Arial"/>
                <w:sz w:val="18"/>
                <w:szCs w:val="18"/>
              </w:rPr>
              <w:t>A33x</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小学用地</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小学用地</w:t>
            </w:r>
          </w:p>
        </w:tc>
      </w:tr>
      <w:tr w:rsidR="00DA44CC">
        <w:trPr>
          <w:cantSplit/>
        </w:trPr>
        <w:tc>
          <w:tcPr>
            <w:tcW w:w="731" w:type="dxa"/>
            <w:gridSpan w:val="2"/>
            <w:vMerge/>
            <w:vAlign w:val="center"/>
          </w:tcPr>
          <w:p w:rsidR="00DA44CC" w:rsidRDefault="00DA44CC">
            <w:pPr>
              <w:adjustRightInd w:val="0"/>
              <w:snapToGrid w:val="0"/>
              <w:spacing w:line="264" w:lineRule="auto"/>
              <w:rPr>
                <w:rFonts w:ascii="Arial" w:hAnsi="Arial" w:cs="Arial"/>
                <w:sz w:val="18"/>
                <w:szCs w:val="18"/>
              </w:rPr>
            </w:pPr>
          </w:p>
        </w:tc>
        <w:tc>
          <w:tcPr>
            <w:tcW w:w="769" w:type="dxa"/>
            <w:vMerge/>
            <w:vAlign w:val="center"/>
          </w:tcPr>
          <w:p w:rsidR="00DA44CC" w:rsidRDefault="00DA44CC">
            <w:pPr>
              <w:adjustRightInd w:val="0"/>
              <w:snapToGrid w:val="0"/>
              <w:spacing w:line="264" w:lineRule="auto"/>
              <w:rPr>
                <w:rFonts w:ascii="Arial" w:eastAsia="黑体" w:hAnsi="Arial" w:cs="Arial"/>
                <w:sz w:val="18"/>
                <w:szCs w:val="18"/>
              </w:rPr>
            </w:pPr>
          </w:p>
        </w:tc>
        <w:tc>
          <w:tcPr>
            <w:tcW w:w="769" w:type="dxa"/>
            <w:vAlign w:val="center"/>
          </w:tcPr>
          <w:p w:rsidR="00DA44CC" w:rsidRDefault="00C53A1B">
            <w:pPr>
              <w:adjustRightInd w:val="0"/>
              <w:snapToGrid w:val="0"/>
              <w:spacing w:line="264" w:lineRule="auto"/>
              <w:rPr>
                <w:rFonts w:ascii="Arial" w:hAnsi="Arial" w:cs="Arial"/>
                <w:sz w:val="18"/>
                <w:szCs w:val="18"/>
              </w:rPr>
            </w:pPr>
            <w:r>
              <w:rPr>
                <w:rFonts w:ascii="Arial" w:hAnsi="Arial" w:cs="Arial"/>
                <w:sz w:val="18"/>
                <w:szCs w:val="18"/>
              </w:rPr>
              <w:t>A33j</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九年一贯制学校</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初中和小学的九年一贯制学校用地</w:t>
            </w:r>
          </w:p>
        </w:tc>
      </w:tr>
      <w:tr w:rsidR="00DA44CC">
        <w:trPr>
          <w:cantSplit/>
        </w:trPr>
        <w:tc>
          <w:tcPr>
            <w:tcW w:w="731" w:type="dxa"/>
            <w:gridSpan w:val="2"/>
            <w:vMerge/>
            <w:vAlign w:val="center"/>
          </w:tcPr>
          <w:p w:rsidR="00DA44CC" w:rsidRDefault="00DA44CC">
            <w:pPr>
              <w:adjustRightInd w:val="0"/>
              <w:snapToGrid w:val="0"/>
              <w:spacing w:line="264" w:lineRule="auto"/>
              <w:rPr>
                <w:rFonts w:ascii="Arial" w:hAnsi="Arial" w:cs="Arial"/>
                <w:sz w:val="18"/>
                <w:szCs w:val="18"/>
              </w:rPr>
            </w:pPr>
          </w:p>
        </w:tc>
        <w:tc>
          <w:tcPr>
            <w:tcW w:w="769" w:type="dxa"/>
            <w:vMerge/>
            <w:vAlign w:val="center"/>
          </w:tcPr>
          <w:p w:rsidR="00DA44CC" w:rsidRDefault="00DA44CC">
            <w:pPr>
              <w:adjustRightInd w:val="0"/>
              <w:snapToGrid w:val="0"/>
              <w:spacing w:line="264" w:lineRule="auto"/>
              <w:rPr>
                <w:rFonts w:ascii="Arial" w:eastAsia="黑体" w:hAnsi="Arial" w:cs="Arial"/>
                <w:sz w:val="18"/>
                <w:szCs w:val="18"/>
              </w:rPr>
            </w:pPr>
          </w:p>
        </w:tc>
        <w:tc>
          <w:tcPr>
            <w:tcW w:w="769" w:type="dxa"/>
            <w:vAlign w:val="center"/>
          </w:tcPr>
          <w:p w:rsidR="00DA44CC" w:rsidRDefault="00C53A1B">
            <w:pPr>
              <w:adjustRightInd w:val="0"/>
              <w:snapToGrid w:val="0"/>
              <w:spacing w:line="264" w:lineRule="auto"/>
              <w:rPr>
                <w:rFonts w:ascii="Arial" w:hAnsi="Arial" w:cs="Arial"/>
                <w:sz w:val="18"/>
                <w:szCs w:val="18"/>
              </w:rPr>
            </w:pPr>
            <w:r>
              <w:rPr>
                <w:rFonts w:ascii="Arial" w:hAnsi="Arial" w:cs="Arial" w:hint="eastAsia"/>
                <w:sz w:val="18"/>
                <w:szCs w:val="18"/>
              </w:rPr>
              <w:t>A33z</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hint="eastAsia"/>
                <w:sz w:val="18"/>
                <w:szCs w:val="18"/>
              </w:rPr>
              <w:t>综合类学校用地</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hint="eastAsia"/>
                <w:sz w:val="18"/>
                <w:szCs w:val="18"/>
              </w:rPr>
              <w:t>包括小学、初中和高中</w:t>
            </w:r>
          </w:p>
        </w:tc>
      </w:tr>
      <w:tr w:rsidR="00DA44CC">
        <w:trPr>
          <w:cantSplit/>
        </w:trPr>
        <w:tc>
          <w:tcPr>
            <w:tcW w:w="731" w:type="dxa"/>
            <w:gridSpan w:val="2"/>
            <w:vMerge/>
            <w:vAlign w:val="center"/>
          </w:tcPr>
          <w:p w:rsidR="00DA44CC" w:rsidRDefault="00DA44CC">
            <w:pPr>
              <w:adjustRightInd w:val="0"/>
              <w:snapToGrid w:val="0"/>
              <w:spacing w:line="264" w:lineRule="auto"/>
              <w:rPr>
                <w:rFonts w:ascii="Arial" w:hAnsi="Arial" w:cs="Arial"/>
                <w:sz w:val="18"/>
                <w:szCs w:val="18"/>
              </w:rPr>
            </w:pPr>
          </w:p>
        </w:tc>
        <w:tc>
          <w:tcPr>
            <w:tcW w:w="769" w:type="dxa"/>
            <w:vMerge/>
            <w:vAlign w:val="center"/>
          </w:tcPr>
          <w:p w:rsidR="00DA44CC" w:rsidRDefault="00DA44CC">
            <w:pPr>
              <w:adjustRightInd w:val="0"/>
              <w:snapToGrid w:val="0"/>
              <w:spacing w:line="264" w:lineRule="auto"/>
              <w:rPr>
                <w:rFonts w:ascii="Arial" w:eastAsia="黑体" w:hAnsi="Arial" w:cs="Arial"/>
                <w:sz w:val="18"/>
                <w:szCs w:val="18"/>
              </w:rPr>
            </w:pPr>
          </w:p>
        </w:tc>
        <w:tc>
          <w:tcPr>
            <w:tcW w:w="769" w:type="dxa"/>
            <w:vAlign w:val="center"/>
          </w:tcPr>
          <w:p w:rsidR="00DA44CC" w:rsidRDefault="00C53A1B">
            <w:pPr>
              <w:adjustRightInd w:val="0"/>
              <w:snapToGrid w:val="0"/>
              <w:spacing w:line="264" w:lineRule="auto"/>
              <w:rPr>
                <w:rFonts w:ascii="Arial" w:hAnsi="Arial" w:cs="Arial"/>
                <w:sz w:val="18"/>
                <w:szCs w:val="18"/>
              </w:rPr>
            </w:pPr>
            <w:r>
              <w:rPr>
                <w:rFonts w:ascii="Arial" w:hAnsi="Arial" w:cs="Arial"/>
                <w:sz w:val="18"/>
                <w:szCs w:val="18"/>
              </w:rPr>
              <w:t>A39</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其他教育用地</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中小学素质教育基地等用地</w:t>
            </w:r>
          </w:p>
        </w:tc>
      </w:tr>
      <w:tr w:rsidR="00DA44CC">
        <w:trPr>
          <w:cantSplit/>
        </w:trPr>
        <w:tc>
          <w:tcPr>
            <w:tcW w:w="731" w:type="dxa"/>
            <w:gridSpan w:val="2"/>
            <w:vMerge/>
            <w:vAlign w:val="center"/>
          </w:tcPr>
          <w:p w:rsidR="00DA44CC" w:rsidRDefault="00DA44CC">
            <w:pPr>
              <w:adjustRightInd w:val="0"/>
              <w:snapToGrid w:val="0"/>
              <w:spacing w:line="264" w:lineRule="auto"/>
              <w:rPr>
                <w:rFonts w:ascii="Arial" w:hAnsi="Arial" w:cs="Arial"/>
                <w:sz w:val="18"/>
                <w:szCs w:val="18"/>
              </w:rPr>
            </w:pPr>
          </w:p>
        </w:tc>
        <w:tc>
          <w:tcPr>
            <w:tcW w:w="1538" w:type="dxa"/>
            <w:gridSpan w:val="2"/>
            <w:vAlign w:val="center"/>
          </w:tcPr>
          <w:p w:rsidR="00DA44CC" w:rsidRDefault="00C53A1B">
            <w:pPr>
              <w:adjustRightInd w:val="0"/>
              <w:snapToGrid w:val="0"/>
              <w:spacing w:line="264" w:lineRule="auto"/>
              <w:rPr>
                <w:rFonts w:ascii="Arial" w:hAnsi="Arial" w:cs="Arial"/>
                <w:sz w:val="18"/>
                <w:szCs w:val="18"/>
              </w:rPr>
            </w:pPr>
            <w:r>
              <w:rPr>
                <w:rFonts w:ascii="Arial" w:hAnsi="Arial" w:cs="Arial"/>
                <w:sz w:val="18"/>
                <w:szCs w:val="18"/>
              </w:rPr>
              <w:t>AR</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hint="eastAsia"/>
                <w:sz w:val="18"/>
                <w:szCs w:val="18"/>
              </w:rPr>
              <w:t>十五</w:t>
            </w:r>
            <w:r>
              <w:rPr>
                <w:rFonts w:ascii="Arial" w:eastAsia="黑体" w:hAnsi="Arial" w:cs="Arial"/>
                <w:sz w:val="18"/>
                <w:szCs w:val="18"/>
              </w:rPr>
              <w:t>分钟</w:t>
            </w:r>
            <w:r>
              <w:rPr>
                <w:rFonts w:ascii="Arial" w:eastAsia="黑体" w:hAnsi="Arial" w:cs="Arial" w:hint="eastAsia"/>
                <w:sz w:val="18"/>
                <w:szCs w:val="18"/>
              </w:rPr>
              <w:t>生活圈居住区</w:t>
            </w:r>
            <w:r>
              <w:rPr>
                <w:rFonts w:ascii="Arial" w:eastAsia="黑体" w:hAnsi="Arial" w:cs="Arial"/>
                <w:sz w:val="18"/>
                <w:szCs w:val="18"/>
              </w:rPr>
              <w:t>配套设施</w:t>
            </w:r>
            <w:r>
              <w:rPr>
                <w:rFonts w:ascii="Arial" w:eastAsia="黑体" w:hAnsi="Arial" w:cs="Arial" w:hint="eastAsia"/>
                <w:sz w:val="18"/>
                <w:szCs w:val="18"/>
              </w:rPr>
              <w:t>用地</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为</w:t>
            </w:r>
            <w:r>
              <w:rPr>
                <w:rFonts w:ascii="Arial" w:eastAsia="黑体" w:hAnsi="Arial" w:cs="Arial" w:hint="eastAsia"/>
                <w:sz w:val="18"/>
                <w:szCs w:val="18"/>
              </w:rPr>
              <w:t>十五</w:t>
            </w:r>
            <w:r>
              <w:rPr>
                <w:rFonts w:ascii="Arial" w:eastAsia="黑体" w:hAnsi="Arial" w:cs="Arial"/>
                <w:sz w:val="18"/>
                <w:szCs w:val="18"/>
              </w:rPr>
              <w:t>分钟</w:t>
            </w:r>
            <w:r>
              <w:rPr>
                <w:rFonts w:ascii="Arial" w:eastAsia="黑体" w:hAnsi="Arial" w:cs="Arial" w:hint="eastAsia"/>
                <w:sz w:val="18"/>
                <w:szCs w:val="18"/>
              </w:rPr>
              <w:t>生活圈居住区</w:t>
            </w:r>
            <w:r>
              <w:rPr>
                <w:rFonts w:ascii="Arial" w:eastAsia="黑体" w:hAnsi="Arial" w:cs="Arial"/>
                <w:sz w:val="18"/>
                <w:szCs w:val="18"/>
              </w:rPr>
              <w:t>配套建设的生活服务设施，主要包括公共管理与公共服务设施、商业服务业设施</w:t>
            </w:r>
            <w:r>
              <w:rPr>
                <w:rFonts w:ascii="Arial" w:eastAsia="黑体" w:hAnsi="Arial" w:cs="Arial" w:hint="eastAsia"/>
                <w:sz w:val="18"/>
                <w:szCs w:val="18"/>
              </w:rPr>
              <w:t>及</w:t>
            </w:r>
            <w:r>
              <w:rPr>
                <w:rFonts w:ascii="Arial" w:eastAsia="黑体" w:hAnsi="Arial" w:cs="Arial"/>
                <w:sz w:val="18"/>
                <w:szCs w:val="18"/>
              </w:rPr>
              <w:t>其他设施</w:t>
            </w:r>
          </w:p>
        </w:tc>
      </w:tr>
      <w:tr w:rsidR="00DA44CC">
        <w:trPr>
          <w:cantSplit/>
        </w:trPr>
        <w:tc>
          <w:tcPr>
            <w:tcW w:w="731" w:type="dxa"/>
            <w:gridSpan w:val="2"/>
            <w:vMerge/>
            <w:vAlign w:val="center"/>
          </w:tcPr>
          <w:p w:rsidR="00DA44CC" w:rsidRDefault="00DA44CC">
            <w:pPr>
              <w:adjustRightInd w:val="0"/>
              <w:snapToGrid w:val="0"/>
              <w:spacing w:line="264" w:lineRule="auto"/>
              <w:rPr>
                <w:rFonts w:ascii="Arial" w:hAnsi="Arial" w:cs="Arial"/>
                <w:sz w:val="18"/>
                <w:szCs w:val="18"/>
              </w:rPr>
            </w:pPr>
          </w:p>
        </w:tc>
        <w:tc>
          <w:tcPr>
            <w:tcW w:w="769" w:type="dxa"/>
            <w:vMerge w:val="restart"/>
            <w:vAlign w:val="center"/>
          </w:tcPr>
          <w:p w:rsidR="00DA44CC" w:rsidRDefault="00C53A1B">
            <w:pPr>
              <w:adjustRightInd w:val="0"/>
              <w:snapToGrid w:val="0"/>
              <w:spacing w:line="264" w:lineRule="auto"/>
              <w:rPr>
                <w:rFonts w:ascii="Arial" w:hAnsi="Arial" w:cs="Arial"/>
                <w:sz w:val="18"/>
                <w:szCs w:val="18"/>
              </w:rPr>
            </w:pPr>
            <w:r>
              <w:rPr>
                <w:rFonts w:ascii="Arial" w:eastAsia="黑体" w:hAnsi="Arial" w:cs="Arial" w:hint="eastAsia"/>
                <w:sz w:val="18"/>
                <w:szCs w:val="18"/>
              </w:rPr>
              <w:t>其中</w:t>
            </w:r>
          </w:p>
        </w:tc>
        <w:tc>
          <w:tcPr>
            <w:tcW w:w="769"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AR1</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hint="eastAsia"/>
                <w:sz w:val="18"/>
                <w:szCs w:val="18"/>
              </w:rPr>
              <w:t>生活圈行政办公用地</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街道办事处、派出所、</w:t>
            </w:r>
            <w:r>
              <w:rPr>
                <w:rFonts w:ascii="Arial" w:eastAsia="黑体" w:hAnsi="Arial" w:cs="Arial" w:hint="eastAsia"/>
                <w:sz w:val="18"/>
                <w:szCs w:val="18"/>
              </w:rPr>
              <w:t>街道</w:t>
            </w:r>
            <w:r>
              <w:rPr>
                <w:rFonts w:ascii="Arial" w:eastAsia="黑体" w:hAnsi="Arial" w:cs="Arial"/>
                <w:sz w:val="18"/>
                <w:szCs w:val="18"/>
              </w:rPr>
              <w:t>服务中心</w:t>
            </w:r>
          </w:p>
        </w:tc>
      </w:tr>
      <w:tr w:rsidR="00DA44CC">
        <w:trPr>
          <w:cantSplit/>
        </w:trPr>
        <w:tc>
          <w:tcPr>
            <w:tcW w:w="731" w:type="dxa"/>
            <w:gridSpan w:val="2"/>
            <w:vMerge/>
            <w:vAlign w:val="center"/>
          </w:tcPr>
          <w:p w:rsidR="00DA44CC" w:rsidRDefault="00DA44CC">
            <w:pPr>
              <w:adjustRightInd w:val="0"/>
              <w:snapToGrid w:val="0"/>
              <w:spacing w:line="264" w:lineRule="auto"/>
              <w:rPr>
                <w:rFonts w:ascii="Arial" w:hAnsi="Arial" w:cs="Arial"/>
                <w:sz w:val="18"/>
                <w:szCs w:val="18"/>
              </w:rPr>
            </w:pPr>
          </w:p>
        </w:tc>
        <w:tc>
          <w:tcPr>
            <w:tcW w:w="769" w:type="dxa"/>
            <w:vMerge/>
            <w:vAlign w:val="center"/>
          </w:tcPr>
          <w:p w:rsidR="00DA44CC" w:rsidRDefault="00DA44CC">
            <w:pPr>
              <w:adjustRightInd w:val="0"/>
              <w:snapToGrid w:val="0"/>
              <w:spacing w:line="264" w:lineRule="auto"/>
              <w:rPr>
                <w:rFonts w:ascii="Arial" w:hAnsi="Arial" w:cs="Arial"/>
                <w:sz w:val="18"/>
                <w:szCs w:val="18"/>
              </w:rPr>
            </w:pPr>
          </w:p>
        </w:tc>
        <w:tc>
          <w:tcPr>
            <w:tcW w:w="769"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AR2</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hint="eastAsia"/>
                <w:sz w:val="18"/>
                <w:szCs w:val="18"/>
              </w:rPr>
              <w:t>生活圈文化设施用地</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文化活动中心</w:t>
            </w:r>
            <w:r>
              <w:rPr>
                <w:rFonts w:ascii="Arial" w:eastAsia="黑体" w:hAnsi="Arial" w:cs="Arial"/>
                <w:sz w:val="18"/>
                <w:szCs w:val="18"/>
              </w:rPr>
              <w:t>(</w:t>
            </w:r>
            <w:r>
              <w:rPr>
                <w:rFonts w:ascii="Arial" w:eastAsia="黑体" w:hAnsi="Arial" w:cs="Arial"/>
                <w:sz w:val="18"/>
                <w:szCs w:val="18"/>
              </w:rPr>
              <w:t>含青少年活动中心</w:t>
            </w:r>
            <w:r>
              <w:rPr>
                <w:rFonts w:ascii="Arial" w:eastAsia="黑体" w:hAnsi="Arial" w:cs="Arial"/>
                <w:sz w:val="18"/>
                <w:szCs w:val="18"/>
              </w:rPr>
              <w:t>,</w:t>
            </w:r>
            <w:r>
              <w:rPr>
                <w:rFonts w:ascii="Arial" w:eastAsia="黑体" w:hAnsi="Arial" w:cs="Arial"/>
                <w:sz w:val="18"/>
                <w:szCs w:val="18"/>
              </w:rPr>
              <w:t>老年活动中心，图书室、多功能厅、教育培训、艺术培训、专类活动空间、活动室等</w:t>
            </w:r>
            <w:r>
              <w:rPr>
                <w:rFonts w:ascii="Arial" w:eastAsia="黑体" w:hAnsi="Arial" w:cs="Arial"/>
                <w:sz w:val="18"/>
                <w:szCs w:val="18"/>
              </w:rPr>
              <w:t>)</w:t>
            </w:r>
          </w:p>
        </w:tc>
      </w:tr>
      <w:tr w:rsidR="00DA44CC">
        <w:trPr>
          <w:cantSplit/>
        </w:trPr>
        <w:tc>
          <w:tcPr>
            <w:tcW w:w="731" w:type="dxa"/>
            <w:gridSpan w:val="2"/>
            <w:vMerge/>
            <w:vAlign w:val="center"/>
          </w:tcPr>
          <w:p w:rsidR="00DA44CC" w:rsidRDefault="00DA44CC">
            <w:pPr>
              <w:adjustRightInd w:val="0"/>
              <w:snapToGrid w:val="0"/>
              <w:spacing w:line="264" w:lineRule="auto"/>
              <w:rPr>
                <w:rFonts w:ascii="Arial" w:hAnsi="Arial" w:cs="Arial"/>
                <w:sz w:val="18"/>
                <w:szCs w:val="18"/>
              </w:rPr>
            </w:pPr>
          </w:p>
        </w:tc>
        <w:tc>
          <w:tcPr>
            <w:tcW w:w="769" w:type="dxa"/>
            <w:vMerge/>
            <w:vAlign w:val="center"/>
          </w:tcPr>
          <w:p w:rsidR="00DA44CC" w:rsidRDefault="00DA44CC">
            <w:pPr>
              <w:adjustRightInd w:val="0"/>
              <w:snapToGrid w:val="0"/>
              <w:spacing w:line="264" w:lineRule="auto"/>
              <w:rPr>
                <w:rFonts w:ascii="Arial" w:hAnsi="Arial" w:cs="Arial"/>
                <w:sz w:val="18"/>
                <w:szCs w:val="18"/>
              </w:rPr>
            </w:pPr>
          </w:p>
        </w:tc>
        <w:tc>
          <w:tcPr>
            <w:tcW w:w="769"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AR4</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hint="eastAsia"/>
                <w:sz w:val="18"/>
                <w:szCs w:val="18"/>
              </w:rPr>
              <w:t>生活圈体育用地</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居民运动场、馆（含篮球、排球、</w:t>
            </w:r>
            <w:r>
              <w:rPr>
                <w:rFonts w:ascii="Arial" w:eastAsia="黑体" w:hAnsi="Arial" w:cs="Arial"/>
                <w:sz w:val="18"/>
                <w:szCs w:val="18"/>
              </w:rPr>
              <w:t>7</w:t>
            </w:r>
            <w:r>
              <w:rPr>
                <w:rFonts w:ascii="Arial" w:eastAsia="黑体" w:hAnsi="Arial" w:cs="Arial"/>
                <w:sz w:val="18"/>
                <w:szCs w:val="18"/>
              </w:rPr>
              <w:t>人制足球、</w:t>
            </w:r>
            <w:r>
              <w:rPr>
                <w:rFonts w:ascii="Arial" w:eastAsia="黑体" w:hAnsi="Arial" w:cs="Arial"/>
                <w:sz w:val="18"/>
                <w:szCs w:val="18"/>
              </w:rPr>
              <w:t>5</w:t>
            </w:r>
            <w:r>
              <w:rPr>
                <w:rFonts w:ascii="Arial" w:eastAsia="黑体" w:hAnsi="Arial" w:cs="Arial"/>
                <w:sz w:val="18"/>
                <w:szCs w:val="18"/>
              </w:rPr>
              <w:t>人制足球、门球、乒乓球、羽毛球、网球、游泳池、滑冰场</w:t>
            </w:r>
            <w:r>
              <w:rPr>
                <w:rFonts w:ascii="Arial" w:eastAsia="黑体" w:hAnsi="Arial" w:cs="Arial"/>
                <w:sz w:val="18"/>
                <w:szCs w:val="18"/>
              </w:rPr>
              <w:t>/</w:t>
            </w:r>
            <w:r>
              <w:rPr>
                <w:rFonts w:ascii="Arial" w:eastAsia="黑体" w:hAnsi="Arial" w:cs="Arial"/>
                <w:sz w:val="18"/>
                <w:szCs w:val="18"/>
              </w:rPr>
              <w:t>轮滑场），室外综合健身用地、儿童游戏场、室外建设器材、步行道、</w:t>
            </w:r>
            <w:r>
              <w:rPr>
                <w:rFonts w:ascii="Arial" w:eastAsia="黑体" w:hAnsi="Arial" w:cs="Arial"/>
                <w:sz w:val="18"/>
                <w:szCs w:val="18"/>
              </w:rPr>
              <w:t>60-100</w:t>
            </w:r>
            <w:r>
              <w:rPr>
                <w:rFonts w:ascii="Arial" w:eastAsia="黑体" w:hAnsi="Arial" w:cs="Arial"/>
                <w:sz w:val="18"/>
                <w:szCs w:val="18"/>
              </w:rPr>
              <w:t>米跑道、</w:t>
            </w:r>
            <w:r>
              <w:rPr>
                <w:rFonts w:ascii="Arial" w:eastAsia="黑体" w:hAnsi="Arial" w:cs="Arial"/>
                <w:sz w:val="18"/>
                <w:szCs w:val="18"/>
              </w:rPr>
              <w:t>100-200</w:t>
            </w:r>
            <w:r>
              <w:rPr>
                <w:rFonts w:ascii="Arial" w:eastAsia="黑体" w:hAnsi="Arial" w:cs="Arial"/>
                <w:sz w:val="18"/>
                <w:szCs w:val="18"/>
              </w:rPr>
              <w:t>米跑道</w:t>
            </w:r>
          </w:p>
        </w:tc>
      </w:tr>
      <w:tr w:rsidR="00DA44CC">
        <w:trPr>
          <w:cantSplit/>
        </w:trPr>
        <w:tc>
          <w:tcPr>
            <w:tcW w:w="731" w:type="dxa"/>
            <w:gridSpan w:val="2"/>
            <w:vMerge/>
            <w:vAlign w:val="center"/>
          </w:tcPr>
          <w:p w:rsidR="00DA44CC" w:rsidRDefault="00DA44CC">
            <w:pPr>
              <w:adjustRightInd w:val="0"/>
              <w:snapToGrid w:val="0"/>
              <w:spacing w:line="264" w:lineRule="auto"/>
              <w:rPr>
                <w:rFonts w:ascii="Arial" w:hAnsi="Arial" w:cs="Arial"/>
                <w:sz w:val="18"/>
                <w:szCs w:val="18"/>
              </w:rPr>
            </w:pPr>
          </w:p>
        </w:tc>
        <w:tc>
          <w:tcPr>
            <w:tcW w:w="769" w:type="dxa"/>
            <w:vMerge/>
            <w:vAlign w:val="center"/>
          </w:tcPr>
          <w:p w:rsidR="00DA44CC" w:rsidRDefault="00DA44CC">
            <w:pPr>
              <w:adjustRightInd w:val="0"/>
              <w:snapToGrid w:val="0"/>
              <w:spacing w:line="264" w:lineRule="auto"/>
              <w:rPr>
                <w:rFonts w:ascii="Arial" w:hAnsi="Arial" w:cs="Arial"/>
                <w:sz w:val="18"/>
                <w:szCs w:val="18"/>
              </w:rPr>
            </w:pPr>
          </w:p>
        </w:tc>
        <w:tc>
          <w:tcPr>
            <w:tcW w:w="769"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AR5</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hint="eastAsia"/>
                <w:sz w:val="18"/>
                <w:szCs w:val="18"/>
              </w:rPr>
              <w:t>生活圈医疗卫生用地</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居住区卫生服务中心，一般含全科诊室、中医诊室、康复治疗室、抢救室；预防接种室、儿童保健室、妇女与计划生育指导室、健康教育室；检验室、</w:t>
            </w:r>
            <w:r>
              <w:rPr>
                <w:rFonts w:ascii="Arial" w:eastAsia="黑体" w:hAnsi="Arial" w:cs="Arial"/>
                <w:sz w:val="18"/>
                <w:szCs w:val="18"/>
              </w:rPr>
              <w:t xml:space="preserve">B </w:t>
            </w:r>
            <w:r>
              <w:rPr>
                <w:rFonts w:ascii="Arial" w:eastAsia="黑体" w:hAnsi="Arial" w:cs="Arial"/>
                <w:sz w:val="18"/>
                <w:szCs w:val="18"/>
              </w:rPr>
              <w:t>超和心电图室、西药房、中药房、治疗室、处置室、健康信息管理室、消毒间</w:t>
            </w:r>
          </w:p>
        </w:tc>
      </w:tr>
      <w:tr w:rsidR="00DA44CC">
        <w:trPr>
          <w:cantSplit/>
        </w:trPr>
        <w:tc>
          <w:tcPr>
            <w:tcW w:w="731" w:type="dxa"/>
            <w:gridSpan w:val="2"/>
            <w:vMerge/>
            <w:vAlign w:val="center"/>
          </w:tcPr>
          <w:p w:rsidR="00DA44CC" w:rsidRDefault="00DA44CC">
            <w:pPr>
              <w:adjustRightInd w:val="0"/>
              <w:snapToGrid w:val="0"/>
              <w:spacing w:line="264" w:lineRule="auto"/>
              <w:rPr>
                <w:rFonts w:ascii="Arial" w:hAnsi="Arial" w:cs="Arial"/>
                <w:sz w:val="18"/>
                <w:szCs w:val="18"/>
              </w:rPr>
            </w:pPr>
          </w:p>
        </w:tc>
        <w:tc>
          <w:tcPr>
            <w:tcW w:w="769" w:type="dxa"/>
            <w:vMerge/>
            <w:vAlign w:val="center"/>
          </w:tcPr>
          <w:p w:rsidR="00DA44CC" w:rsidRDefault="00DA44CC">
            <w:pPr>
              <w:adjustRightInd w:val="0"/>
              <w:snapToGrid w:val="0"/>
              <w:spacing w:line="264" w:lineRule="auto"/>
              <w:rPr>
                <w:rFonts w:ascii="Arial" w:hAnsi="Arial" w:cs="Arial"/>
                <w:sz w:val="18"/>
                <w:szCs w:val="18"/>
              </w:rPr>
            </w:pPr>
          </w:p>
        </w:tc>
        <w:tc>
          <w:tcPr>
            <w:tcW w:w="769"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AR6</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hint="eastAsia"/>
                <w:sz w:val="18"/>
                <w:szCs w:val="18"/>
              </w:rPr>
              <w:t>生活圈社会福利用地</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养老院、护理院</w:t>
            </w:r>
          </w:p>
        </w:tc>
      </w:tr>
      <w:tr w:rsidR="00DA44CC">
        <w:trPr>
          <w:cantSplit/>
        </w:trPr>
        <w:tc>
          <w:tcPr>
            <w:tcW w:w="2269" w:type="dxa"/>
            <w:gridSpan w:val="4"/>
            <w:vAlign w:val="center"/>
          </w:tcPr>
          <w:p w:rsidR="00DA44CC" w:rsidRDefault="00C53A1B">
            <w:pPr>
              <w:adjustRightInd w:val="0"/>
              <w:snapToGrid w:val="0"/>
              <w:spacing w:line="264" w:lineRule="auto"/>
              <w:rPr>
                <w:rFonts w:ascii="Arial" w:eastAsia="黑体" w:hAnsi="Arial" w:cs="Arial"/>
                <w:sz w:val="18"/>
                <w:szCs w:val="18"/>
              </w:rPr>
            </w:pPr>
            <w:r>
              <w:rPr>
                <w:rFonts w:ascii="Arial" w:hAnsi="Arial" w:cs="Arial" w:hint="eastAsia"/>
                <w:sz w:val="18"/>
                <w:szCs w:val="18"/>
              </w:rPr>
              <w:t>B</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hint="eastAsia"/>
                <w:sz w:val="18"/>
                <w:szCs w:val="18"/>
              </w:rPr>
              <w:t>商业服务业设施用地</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hint="eastAsia"/>
                <w:sz w:val="18"/>
                <w:szCs w:val="18"/>
              </w:rPr>
              <w:t>商业、商务、娱乐康体等设施用地，不包括居住用地中的服务设施用地</w:t>
            </w:r>
          </w:p>
        </w:tc>
      </w:tr>
      <w:tr w:rsidR="00DA44CC">
        <w:trPr>
          <w:cantSplit/>
        </w:trPr>
        <w:tc>
          <w:tcPr>
            <w:tcW w:w="731" w:type="dxa"/>
            <w:gridSpan w:val="2"/>
            <w:vAlign w:val="center"/>
          </w:tcPr>
          <w:p w:rsidR="00DA44CC" w:rsidRDefault="00C53A1B">
            <w:pPr>
              <w:adjustRightInd w:val="0"/>
              <w:snapToGrid w:val="0"/>
              <w:spacing w:line="264" w:lineRule="auto"/>
              <w:rPr>
                <w:rFonts w:ascii="Arial" w:hAnsi="Arial" w:cs="Arial"/>
                <w:sz w:val="18"/>
                <w:szCs w:val="18"/>
              </w:rPr>
            </w:pPr>
            <w:r>
              <w:rPr>
                <w:rFonts w:ascii="Arial" w:eastAsia="黑体" w:hAnsi="Arial" w:cs="Arial" w:hint="eastAsia"/>
                <w:sz w:val="18"/>
                <w:szCs w:val="18"/>
              </w:rPr>
              <w:t>其中</w:t>
            </w:r>
          </w:p>
        </w:tc>
        <w:tc>
          <w:tcPr>
            <w:tcW w:w="1538" w:type="dxa"/>
            <w:gridSpan w:val="2"/>
            <w:vAlign w:val="center"/>
          </w:tcPr>
          <w:p w:rsidR="00DA44CC" w:rsidRDefault="00C53A1B">
            <w:pPr>
              <w:adjustRightInd w:val="0"/>
              <w:snapToGrid w:val="0"/>
              <w:spacing w:line="264" w:lineRule="auto"/>
              <w:rPr>
                <w:rFonts w:ascii="Arial" w:eastAsia="黑体" w:hAnsi="Arial" w:cs="Arial"/>
                <w:sz w:val="18"/>
                <w:szCs w:val="18"/>
              </w:rPr>
            </w:pPr>
            <w:r>
              <w:rPr>
                <w:rFonts w:ascii="Arial" w:hAnsi="Arial" w:cs="Arial" w:hint="eastAsia"/>
                <w:sz w:val="18"/>
                <w:szCs w:val="18"/>
              </w:rPr>
              <w:t>BR</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hint="eastAsia"/>
                <w:sz w:val="18"/>
                <w:szCs w:val="18"/>
              </w:rPr>
              <w:t>商住混合用地</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hint="eastAsia"/>
                <w:sz w:val="18"/>
                <w:szCs w:val="18"/>
              </w:rPr>
              <w:t>商业和居住混合的用地，以商业为主导用地功能，可以混合但不仅限于居住用地功能（不符合兼容要求的除外）。</w:t>
            </w:r>
          </w:p>
        </w:tc>
      </w:tr>
      <w:tr w:rsidR="00DA44CC">
        <w:trPr>
          <w:cantSplit/>
        </w:trPr>
        <w:tc>
          <w:tcPr>
            <w:tcW w:w="2269" w:type="dxa"/>
            <w:gridSpan w:val="4"/>
            <w:vAlign w:val="center"/>
          </w:tcPr>
          <w:p w:rsidR="00DA44CC" w:rsidRDefault="00C53A1B">
            <w:pPr>
              <w:adjustRightInd w:val="0"/>
              <w:snapToGrid w:val="0"/>
              <w:spacing w:line="264" w:lineRule="auto"/>
              <w:rPr>
                <w:rFonts w:ascii="Arial" w:eastAsia="黑体" w:hAnsi="Arial" w:cs="Arial"/>
                <w:sz w:val="18"/>
                <w:szCs w:val="18"/>
              </w:rPr>
            </w:pPr>
            <w:r>
              <w:rPr>
                <w:rFonts w:ascii="Arial" w:hAnsi="Arial" w:cs="Arial"/>
                <w:sz w:val="18"/>
                <w:szCs w:val="18"/>
              </w:rPr>
              <w:t>G</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hint="eastAsia"/>
                <w:sz w:val="18"/>
                <w:szCs w:val="18"/>
              </w:rPr>
              <w:t>绿地与广场用地</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公园绿地、防护绿地、广场等公共开放空间用地</w:t>
            </w:r>
          </w:p>
        </w:tc>
      </w:tr>
      <w:tr w:rsidR="00DA44CC">
        <w:trPr>
          <w:cantSplit/>
        </w:trPr>
        <w:tc>
          <w:tcPr>
            <w:tcW w:w="731" w:type="dxa"/>
            <w:gridSpan w:val="2"/>
            <w:vMerge w:val="restart"/>
            <w:vAlign w:val="center"/>
          </w:tcPr>
          <w:p w:rsidR="00DA44CC" w:rsidRDefault="00C53A1B">
            <w:pPr>
              <w:adjustRightInd w:val="0"/>
              <w:snapToGrid w:val="0"/>
              <w:spacing w:line="264" w:lineRule="auto"/>
              <w:rPr>
                <w:rFonts w:ascii="Arial" w:hAnsi="Arial" w:cs="Arial"/>
                <w:sz w:val="18"/>
                <w:szCs w:val="18"/>
              </w:rPr>
            </w:pPr>
            <w:r>
              <w:rPr>
                <w:rFonts w:ascii="Arial" w:eastAsia="黑体" w:hAnsi="Arial" w:cs="Arial"/>
                <w:sz w:val="18"/>
                <w:szCs w:val="18"/>
              </w:rPr>
              <w:t>其中</w:t>
            </w:r>
          </w:p>
        </w:tc>
        <w:tc>
          <w:tcPr>
            <w:tcW w:w="1538" w:type="dxa"/>
            <w:gridSpan w:val="2"/>
            <w:vAlign w:val="center"/>
          </w:tcPr>
          <w:p w:rsidR="00DA44CC" w:rsidRDefault="00C53A1B">
            <w:pPr>
              <w:adjustRightInd w:val="0"/>
              <w:snapToGrid w:val="0"/>
              <w:spacing w:line="264" w:lineRule="auto"/>
              <w:rPr>
                <w:rFonts w:ascii="Arial" w:eastAsia="黑体" w:hAnsi="Arial" w:cs="Arial"/>
                <w:sz w:val="18"/>
                <w:szCs w:val="18"/>
              </w:rPr>
            </w:pPr>
            <w:r>
              <w:rPr>
                <w:rFonts w:ascii="Arial" w:hAnsi="Arial" w:cs="Arial"/>
                <w:sz w:val="18"/>
                <w:szCs w:val="18"/>
              </w:rPr>
              <w:t>G1</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公园绿地</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向公众开放，以游憩为主要功能，兼具生态、美化、防灾等作用的绿地</w:t>
            </w:r>
          </w:p>
        </w:tc>
      </w:tr>
      <w:tr w:rsidR="00DA44CC">
        <w:trPr>
          <w:cantSplit/>
        </w:trPr>
        <w:tc>
          <w:tcPr>
            <w:tcW w:w="731" w:type="dxa"/>
            <w:gridSpan w:val="2"/>
            <w:vMerge/>
            <w:vAlign w:val="center"/>
          </w:tcPr>
          <w:p w:rsidR="00DA44CC" w:rsidRDefault="00DA44CC">
            <w:pPr>
              <w:adjustRightInd w:val="0"/>
              <w:snapToGrid w:val="0"/>
              <w:spacing w:line="264" w:lineRule="auto"/>
              <w:rPr>
                <w:rFonts w:ascii="Arial" w:hAnsi="Arial" w:cs="Arial"/>
                <w:sz w:val="18"/>
                <w:szCs w:val="18"/>
              </w:rPr>
            </w:pPr>
          </w:p>
        </w:tc>
        <w:tc>
          <w:tcPr>
            <w:tcW w:w="769" w:type="dxa"/>
            <w:vMerge w:val="restart"/>
            <w:vAlign w:val="center"/>
          </w:tcPr>
          <w:p w:rsidR="00DA44CC" w:rsidRDefault="00C53A1B">
            <w:pPr>
              <w:adjustRightInd w:val="0"/>
              <w:snapToGrid w:val="0"/>
              <w:spacing w:line="264" w:lineRule="auto"/>
              <w:rPr>
                <w:rFonts w:ascii="Arial" w:hAnsi="Arial" w:cs="Arial"/>
                <w:sz w:val="18"/>
                <w:szCs w:val="18"/>
              </w:rPr>
            </w:pPr>
            <w:r>
              <w:rPr>
                <w:rFonts w:ascii="Arial" w:eastAsia="黑体" w:hAnsi="Arial" w:cs="Arial"/>
                <w:sz w:val="18"/>
                <w:szCs w:val="18"/>
              </w:rPr>
              <w:t>其中</w:t>
            </w:r>
          </w:p>
        </w:tc>
        <w:tc>
          <w:tcPr>
            <w:tcW w:w="769"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G11</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综合公园</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指内容丰富，有相应设施，适合于公众开展各类户外活动的规模较大的绿地，综合公园分为市级公园和区级公园两类，服务半径一般为</w:t>
            </w:r>
            <w:r>
              <w:rPr>
                <w:rFonts w:ascii="Arial" w:eastAsia="黑体" w:hAnsi="Arial" w:cs="Arial"/>
                <w:sz w:val="18"/>
                <w:szCs w:val="18"/>
              </w:rPr>
              <w:t>1000</w:t>
            </w:r>
            <w:r>
              <w:rPr>
                <w:rFonts w:ascii="Arial" w:eastAsia="黑体" w:hAnsi="Arial" w:cs="Arial"/>
                <w:sz w:val="18"/>
                <w:szCs w:val="18"/>
              </w:rPr>
              <w:t>米</w:t>
            </w:r>
          </w:p>
        </w:tc>
      </w:tr>
      <w:tr w:rsidR="00DA44CC">
        <w:trPr>
          <w:cantSplit/>
        </w:trPr>
        <w:tc>
          <w:tcPr>
            <w:tcW w:w="731" w:type="dxa"/>
            <w:gridSpan w:val="2"/>
            <w:vMerge/>
            <w:vAlign w:val="center"/>
          </w:tcPr>
          <w:p w:rsidR="00DA44CC" w:rsidRDefault="00DA44CC">
            <w:pPr>
              <w:adjustRightInd w:val="0"/>
              <w:snapToGrid w:val="0"/>
              <w:spacing w:line="264" w:lineRule="auto"/>
              <w:rPr>
                <w:rFonts w:ascii="Arial" w:hAnsi="Arial" w:cs="Arial"/>
                <w:sz w:val="18"/>
                <w:szCs w:val="18"/>
              </w:rPr>
            </w:pPr>
          </w:p>
        </w:tc>
        <w:tc>
          <w:tcPr>
            <w:tcW w:w="769" w:type="dxa"/>
            <w:vMerge/>
            <w:vAlign w:val="center"/>
          </w:tcPr>
          <w:p w:rsidR="00DA44CC" w:rsidRDefault="00DA44CC">
            <w:pPr>
              <w:adjustRightInd w:val="0"/>
              <w:snapToGrid w:val="0"/>
              <w:spacing w:line="264" w:lineRule="auto"/>
              <w:rPr>
                <w:rFonts w:ascii="Arial" w:hAnsi="Arial" w:cs="Arial"/>
                <w:sz w:val="18"/>
                <w:szCs w:val="18"/>
              </w:rPr>
            </w:pPr>
          </w:p>
        </w:tc>
        <w:tc>
          <w:tcPr>
            <w:tcW w:w="769"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G12</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hint="eastAsia"/>
                <w:sz w:val="18"/>
                <w:szCs w:val="18"/>
              </w:rPr>
              <w:t>社区</w:t>
            </w:r>
            <w:r>
              <w:rPr>
                <w:rFonts w:ascii="Arial" w:eastAsia="黑体" w:hAnsi="Arial" w:cs="Arial"/>
                <w:sz w:val="18"/>
                <w:szCs w:val="18"/>
              </w:rPr>
              <w:t>公园</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主要为社区生活圈内的居民服务，重点应考虑居民日常健身休闲、老人交往及儿童游戏需求，服务半径一般为</w:t>
            </w:r>
            <w:r>
              <w:rPr>
                <w:rFonts w:ascii="Arial" w:eastAsia="黑体" w:hAnsi="Arial" w:cs="Arial"/>
                <w:sz w:val="18"/>
                <w:szCs w:val="18"/>
              </w:rPr>
              <w:t>500</w:t>
            </w:r>
            <w:r>
              <w:rPr>
                <w:rFonts w:ascii="Arial" w:eastAsia="黑体" w:hAnsi="Arial" w:cs="Arial"/>
                <w:sz w:val="18"/>
                <w:szCs w:val="18"/>
              </w:rPr>
              <w:t>米。</w:t>
            </w:r>
          </w:p>
        </w:tc>
      </w:tr>
      <w:tr w:rsidR="00DA44CC">
        <w:trPr>
          <w:cantSplit/>
        </w:trPr>
        <w:tc>
          <w:tcPr>
            <w:tcW w:w="731" w:type="dxa"/>
            <w:gridSpan w:val="2"/>
            <w:vMerge/>
            <w:vAlign w:val="center"/>
          </w:tcPr>
          <w:p w:rsidR="00DA44CC" w:rsidRDefault="00DA44CC">
            <w:pPr>
              <w:adjustRightInd w:val="0"/>
              <w:snapToGrid w:val="0"/>
              <w:spacing w:line="264" w:lineRule="auto"/>
              <w:rPr>
                <w:rFonts w:ascii="Arial" w:hAnsi="Arial" w:cs="Arial"/>
                <w:sz w:val="18"/>
                <w:szCs w:val="18"/>
              </w:rPr>
            </w:pPr>
          </w:p>
        </w:tc>
        <w:tc>
          <w:tcPr>
            <w:tcW w:w="769" w:type="dxa"/>
            <w:vMerge/>
            <w:vAlign w:val="center"/>
          </w:tcPr>
          <w:p w:rsidR="00DA44CC" w:rsidRDefault="00DA44CC">
            <w:pPr>
              <w:adjustRightInd w:val="0"/>
              <w:snapToGrid w:val="0"/>
              <w:spacing w:line="264" w:lineRule="auto"/>
              <w:rPr>
                <w:rFonts w:ascii="Arial" w:hAnsi="Arial" w:cs="Arial"/>
                <w:sz w:val="18"/>
                <w:szCs w:val="18"/>
              </w:rPr>
            </w:pPr>
          </w:p>
        </w:tc>
        <w:tc>
          <w:tcPr>
            <w:tcW w:w="769"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G13</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专类公园</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指具有特定内容和形式，有一定游憩设施的绿地</w:t>
            </w:r>
          </w:p>
        </w:tc>
      </w:tr>
      <w:tr w:rsidR="00DA44CC">
        <w:trPr>
          <w:cantSplit/>
        </w:trPr>
        <w:tc>
          <w:tcPr>
            <w:tcW w:w="731" w:type="dxa"/>
            <w:gridSpan w:val="2"/>
            <w:vMerge/>
            <w:vAlign w:val="center"/>
          </w:tcPr>
          <w:p w:rsidR="00DA44CC" w:rsidRDefault="00DA44CC">
            <w:pPr>
              <w:adjustRightInd w:val="0"/>
              <w:snapToGrid w:val="0"/>
              <w:spacing w:line="264" w:lineRule="auto"/>
              <w:rPr>
                <w:rFonts w:ascii="Arial" w:hAnsi="Arial" w:cs="Arial"/>
                <w:sz w:val="18"/>
                <w:szCs w:val="18"/>
              </w:rPr>
            </w:pPr>
          </w:p>
        </w:tc>
        <w:tc>
          <w:tcPr>
            <w:tcW w:w="769" w:type="dxa"/>
            <w:vMerge/>
            <w:vAlign w:val="center"/>
          </w:tcPr>
          <w:p w:rsidR="00DA44CC" w:rsidRDefault="00DA44CC">
            <w:pPr>
              <w:adjustRightInd w:val="0"/>
              <w:snapToGrid w:val="0"/>
              <w:spacing w:line="264" w:lineRule="auto"/>
              <w:rPr>
                <w:rFonts w:ascii="Arial" w:hAnsi="Arial" w:cs="Arial"/>
                <w:sz w:val="18"/>
                <w:szCs w:val="18"/>
              </w:rPr>
            </w:pPr>
          </w:p>
        </w:tc>
        <w:tc>
          <w:tcPr>
            <w:tcW w:w="769"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G14</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游园</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街头绿地和宽度不小于</w:t>
            </w:r>
            <w:r>
              <w:rPr>
                <w:rFonts w:ascii="Arial" w:eastAsia="黑体" w:hAnsi="Arial" w:cs="Arial"/>
                <w:sz w:val="18"/>
                <w:szCs w:val="18"/>
              </w:rPr>
              <w:t>1</w:t>
            </w:r>
            <w:r>
              <w:rPr>
                <w:rFonts w:ascii="Arial" w:eastAsia="黑体" w:hAnsi="Arial" w:cs="Arial" w:hint="eastAsia"/>
                <w:sz w:val="18"/>
                <w:szCs w:val="18"/>
              </w:rPr>
              <w:t>2</w:t>
            </w:r>
            <w:r>
              <w:rPr>
                <w:rFonts w:ascii="Arial" w:eastAsia="黑体" w:hAnsi="Arial" w:cs="Arial"/>
                <w:sz w:val="18"/>
                <w:szCs w:val="18"/>
              </w:rPr>
              <w:t>米</w:t>
            </w:r>
            <w:r>
              <w:rPr>
                <w:rFonts w:ascii="Arial" w:eastAsia="黑体" w:hAnsi="Arial" w:cs="Arial" w:hint="eastAsia"/>
                <w:sz w:val="18"/>
                <w:szCs w:val="18"/>
              </w:rPr>
              <w:t>的</w:t>
            </w:r>
            <w:r>
              <w:rPr>
                <w:rFonts w:ascii="Arial" w:eastAsia="黑体" w:hAnsi="Arial" w:cs="Arial"/>
                <w:sz w:val="18"/>
                <w:szCs w:val="18"/>
              </w:rPr>
              <w:t>带状公园，服务半径</w:t>
            </w:r>
            <w:r>
              <w:rPr>
                <w:rFonts w:ascii="Arial" w:eastAsia="黑体" w:hAnsi="Arial" w:cs="Arial" w:hint="eastAsia"/>
                <w:sz w:val="18"/>
                <w:szCs w:val="18"/>
              </w:rPr>
              <w:t>一般</w:t>
            </w:r>
            <w:r>
              <w:rPr>
                <w:rFonts w:ascii="Arial" w:eastAsia="黑体" w:hAnsi="Arial" w:cs="Arial"/>
                <w:sz w:val="18"/>
                <w:szCs w:val="18"/>
              </w:rPr>
              <w:t>为</w:t>
            </w:r>
            <w:r>
              <w:rPr>
                <w:rFonts w:ascii="Arial" w:eastAsia="黑体" w:hAnsi="Arial" w:cs="Arial" w:hint="eastAsia"/>
                <w:sz w:val="18"/>
                <w:szCs w:val="18"/>
              </w:rPr>
              <w:t>3</w:t>
            </w:r>
            <w:r>
              <w:rPr>
                <w:rFonts w:ascii="Arial" w:eastAsia="黑体" w:hAnsi="Arial" w:cs="Arial"/>
                <w:sz w:val="18"/>
                <w:szCs w:val="18"/>
              </w:rPr>
              <w:t>00</w:t>
            </w:r>
            <w:r>
              <w:rPr>
                <w:rFonts w:ascii="Arial" w:eastAsia="黑体" w:hAnsi="Arial" w:cs="Arial"/>
                <w:sz w:val="18"/>
                <w:szCs w:val="18"/>
              </w:rPr>
              <w:t>米</w:t>
            </w:r>
          </w:p>
        </w:tc>
      </w:tr>
      <w:tr w:rsidR="00DA44CC">
        <w:trPr>
          <w:cantSplit/>
        </w:trPr>
        <w:tc>
          <w:tcPr>
            <w:tcW w:w="2269" w:type="dxa"/>
            <w:gridSpan w:val="4"/>
            <w:vAlign w:val="center"/>
          </w:tcPr>
          <w:p w:rsidR="00DA44CC" w:rsidRDefault="00C53A1B">
            <w:pPr>
              <w:adjustRightInd w:val="0"/>
              <w:snapToGrid w:val="0"/>
              <w:spacing w:line="264" w:lineRule="auto"/>
              <w:rPr>
                <w:rFonts w:ascii="Arial" w:eastAsia="黑体" w:hAnsi="Arial" w:cs="Arial"/>
                <w:sz w:val="18"/>
                <w:szCs w:val="18"/>
              </w:rPr>
            </w:pPr>
            <w:r>
              <w:rPr>
                <w:rFonts w:ascii="Arial" w:hAnsi="Arial" w:cs="Arial"/>
                <w:sz w:val="18"/>
                <w:szCs w:val="18"/>
              </w:rPr>
              <w:t>M</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sz w:val="18"/>
                <w:szCs w:val="18"/>
              </w:rPr>
              <w:t>工业用地</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工矿企业的生产车间、库房及其附属设施等用地，包括专用铁路、码头和附属道路、停车场等用地，不包括露天矿用地</w:t>
            </w:r>
          </w:p>
        </w:tc>
      </w:tr>
      <w:tr w:rsidR="00DA44CC">
        <w:trPr>
          <w:cantSplit/>
        </w:trPr>
        <w:tc>
          <w:tcPr>
            <w:tcW w:w="689"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hint="eastAsia"/>
                <w:sz w:val="18"/>
                <w:szCs w:val="18"/>
              </w:rPr>
              <w:t>其中</w:t>
            </w:r>
          </w:p>
        </w:tc>
        <w:tc>
          <w:tcPr>
            <w:tcW w:w="1580" w:type="dxa"/>
            <w:gridSpan w:val="3"/>
            <w:vAlign w:val="center"/>
          </w:tcPr>
          <w:p w:rsidR="00DA44CC" w:rsidRDefault="00C53A1B">
            <w:pPr>
              <w:adjustRightInd w:val="0"/>
              <w:snapToGrid w:val="0"/>
              <w:spacing w:line="264" w:lineRule="auto"/>
              <w:rPr>
                <w:rFonts w:ascii="Arial" w:eastAsia="黑体" w:hAnsi="Arial" w:cs="Arial"/>
                <w:sz w:val="18"/>
                <w:szCs w:val="18"/>
              </w:rPr>
            </w:pPr>
            <w:r>
              <w:rPr>
                <w:rFonts w:ascii="Arial" w:hAnsi="Arial" w:cs="Arial"/>
                <w:sz w:val="18"/>
                <w:szCs w:val="18"/>
              </w:rPr>
              <w:t>M0</w:t>
            </w:r>
          </w:p>
        </w:tc>
        <w:tc>
          <w:tcPr>
            <w:tcW w:w="1690" w:type="dxa"/>
            <w:vAlign w:val="center"/>
          </w:tcPr>
          <w:p w:rsidR="00DA44CC" w:rsidRDefault="00C53A1B">
            <w:pPr>
              <w:adjustRightInd w:val="0"/>
              <w:snapToGrid w:val="0"/>
              <w:spacing w:line="264" w:lineRule="auto"/>
              <w:rPr>
                <w:rFonts w:ascii="Arial" w:eastAsia="黑体" w:hAnsi="Arial" w:cs="Arial"/>
                <w:sz w:val="18"/>
                <w:szCs w:val="18"/>
              </w:rPr>
            </w:pPr>
            <w:r>
              <w:rPr>
                <w:rFonts w:ascii="Arial" w:eastAsia="黑体" w:hAnsi="Arial" w:cs="Arial" w:hint="eastAsia"/>
                <w:sz w:val="18"/>
                <w:szCs w:val="18"/>
              </w:rPr>
              <w:t>新型产业</w:t>
            </w:r>
            <w:r>
              <w:rPr>
                <w:rFonts w:ascii="Arial" w:eastAsia="黑体" w:hAnsi="Arial" w:cs="Arial"/>
                <w:sz w:val="18"/>
                <w:szCs w:val="18"/>
              </w:rPr>
              <w:t>用地</w:t>
            </w:r>
          </w:p>
        </w:tc>
        <w:tc>
          <w:tcPr>
            <w:tcW w:w="5257" w:type="dxa"/>
            <w:vAlign w:val="center"/>
          </w:tcPr>
          <w:p w:rsidR="00DA44CC" w:rsidRDefault="00C53A1B">
            <w:pPr>
              <w:adjustRightInd w:val="0"/>
              <w:snapToGrid w:val="0"/>
              <w:spacing w:line="264" w:lineRule="auto"/>
              <w:jc w:val="left"/>
              <w:rPr>
                <w:rFonts w:ascii="Arial" w:eastAsia="黑体" w:hAnsi="Arial" w:cs="Arial"/>
                <w:sz w:val="18"/>
                <w:szCs w:val="18"/>
              </w:rPr>
            </w:pPr>
            <w:r>
              <w:rPr>
                <w:rFonts w:ascii="Arial" w:eastAsia="黑体" w:hAnsi="Arial" w:cs="Arial"/>
                <w:sz w:val="18"/>
                <w:szCs w:val="18"/>
              </w:rPr>
              <w:t>各类产业及技术的研发、设计、创意、中试、孵化等创新型功能及相关配套设施用地</w:t>
            </w:r>
          </w:p>
        </w:tc>
      </w:tr>
    </w:tbl>
    <w:p w:rsidR="00DA44CC" w:rsidRDefault="00DA44CC">
      <w:pPr>
        <w:adjustRightInd w:val="0"/>
        <w:snapToGrid w:val="0"/>
        <w:spacing w:line="600" w:lineRule="exact"/>
        <w:ind w:firstLineChars="200" w:firstLine="640"/>
        <w:rPr>
          <w:rFonts w:ascii="方正仿宋简体" w:eastAsia="方正仿宋简体" w:hAnsi="宋体" w:cs="仿宋_GB2312"/>
          <w:color w:val="000000"/>
          <w:sz w:val="32"/>
          <w:szCs w:val="32"/>
        </w:rPr>
      </w:pPr>
    </w:p>
    <w:p w:rsidR="00DA44CC" w:rsidRDefault="00C53A1B">
      <w:pPr>
        <w:adjustRightInd w:val="0"/>
        <w:snapToGrid w:val="0"/>
        <w:spacing w:line="60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第三节  建设用地适建性规定</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第七条  用地适建性规定</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用地适建性是指根据控规确定的用地性质，在符合相关规范、</w:t>
      </w:r>
      <w:r>
        <w:rPr>
          <w:rFonts w:ascii="方正仿宋简体" w:eastAsia="方正仿宋简体" w:hAnsi="宋体" w:cs="仿宋_GB2312" w:hint="eastAsia"/>
          <w:color w:val="000000"/>
          <w:sz w:val="32"/>
          <w:szCs w:val="32"/>
        </w:rPr>
        <w:lastRenderedPageBreak/>
        <w:t>政策的前提下，地块建设用地所允许配建的相应配套设施。配套设施的适建比例、适建范围以及适建内容应符合表2-2的要求。</w:t>
      </w:r>
    </w:p>
    <w:p w:rsidR="00DA44CC" w:rsidRDefault="00DA44CC">
      <w:pPr>
        <w:adjustRightInd w:val="0"/>
        <w:ind w:left="703"/>
        <w:jc w:val="center"/>
        <w:rPr>
          <w:rFonts w:ascii="黑体" w:eastAsia="黑体" w:hAnsi="黑体"/>
          <w:bCs/>
          <w:szCs w:val="22"/>
        </w:rPr>
      </w:pPr>
    </w:p>
    <w:p w:rsidR="00DA44CC" w:rsidRDefault="00C53A1B">
      <w:pPr>
        <w:adjustRightInd w:val="0"/>
        <w:ind w:left="703"/>
        <w:jc w:val="center"/>
        <w:rPr>
          <w:rFonts w:ascii="黑体" w:eastAsia="黑体" w:hAnsi="黑体"/>
          <w:bCs/>
          <w:szCs w:val="22"/>
        </w:rPr>
      </w:pPr>
      <w:r>
        <w:rPr>
          <w:rFonts w:ascii="黑体" w:eastAsia="黑体" w:hAnsi="黑体" w:hint="eastAsia"/>
          <w:bCs/>
          <w:szCs w:val="22"/>
        </w:rPr>
        <w:t>表2-2常用建设用地性质适建范围一览表</w:t>
      </w:r>
    </w:p>
    <w:tbl>
      <w:tblPr>
        <w:tblW w:w="92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6"/>
        <w:gridCol w:w="909"/>
        <w:gridCol w:w="1734"/>
        <w:gridCol w:w="3393"/>
        <w:gridCol w:w="2354"/>
      </w:tblGrid>
      <w:tr w:rsidR="00DA44CC">
        <w:trPr>
          <w:trHeight w:val="509"/>
          <w:jc w:val="center"/>
        </w:trPr>
        <w:tc>
          <w:tcPr>
            <w:tcW w:w="1735" w:type="dxa"/>
            <w:gridSpan w:val="2"/>
            <w:vAlign w:val="center"/>
          </w:tcPr>
          <w:p w:rsidR="00DA44CC" w:rsidRDefault="00C53A1B">
            <w:pPr>
              <w:adjustRightInd w:val="0"/>
              <w:snapToGrid w:val="0"/>
              <w:spacing w:line="288" w:lineRule="auto"/>
              <w:jc w:val="center"/>
              <w:rPr>
                <w:rFonts w:ascii="Arial" w:eastAsia="黑体" w:hAnsi="Arial" w:cs="Arial"/>
                <w:sz w:val="18"/>
                <w:szCs w:val="18"/>
              </w:rPr>
            </w:pPr>
            <w:r>
              <w:rPr>
                <w:rFonts w:ascii="Arial" w:eastAsia="黑体" w:hAnsi="Arial" w:cs="Arial" w:hint="eastAsia"/>
                <w:sz w:val="18"/>
                <w:szCs w:val="18"/>
              </w:rPr>
              <w:t>用地类别及代码</w:t>
            </w:r>
          </w:p>
        </w:tc>
        <w:tc>
          <w:tcPr>
            <w:tcW w:w="1734" w:type="dxa"/>
            <w:vAlign w:val="center"/>
          </w:tcPr>
          <w:p w:rsidR="00DA44CC" w:rsidRDefault="00C53A1B">
            <w:pPr>
              <w:adjustRightInd w:val="0"/>
              <w:snapToGrid w:val="0"/>
              <w:spacing w:line="288" w:lineRule="auto"/>
              <w:jc w:val="center"/>
              <w:rPr>
                <w:rFonts w:ascii="Arial" w:eastAsia="黑体" w:hAnsi="Arial" w:cs="Arial"/>
                <w:sz w:val="18"/>
                <w:szCs w:val="18"/>
              </w:rPr>
            </w:pPr>
            <w:r>
              <w:rPr>
                <w:rFonts w:ascii="Arial" w:eastAsia="黑体" w:hAnsi="Arial" w:cs="Arial" w:hint="eastAsia"/>
                <w:sz w:val="18"/>
                <w:szCs w:val="18"/>
              </w:rPr>
              <w:t>《国标》规定的适建内容</w:t>
            </w:r>
          </w:p>
        </w:tc>
        <w:tc>
          <w:tcPr>
            <w:tcW w:w="5747" w:type="dxa"/>
            <w:gridSpan w:val="2"/>
            <w:vAlign w:val="center"/>
          </w:tcPr>
          <w:p w:rsidR="00DA44CC" w:rsidRDefault="00C53A1B">
            <w:pPr>
              <w:adjustRightInd w:val="0"/>
              <w:snapToGrid w:val="0"/>
              <w:spacing w:line="288" w:lineRule="auto"/>
              <w:jc w:val="center"/>
              <w:rPr>
                <w:rFonts w:ascii="Arial" w:eastAsia="黑体" w:hAnsi="Arial" w:cs="Arial"/>
                <w:sz w:val="18"/>
                <w:szCs w:val="18"/>
              </w:rPr>
            </w:pPr>
            <w:r>
              <w:rPr>
                <w:rFonts w:ascii="Arial" w:eastAsia="黑体" w:hAnsi="Arial" w:cs="Arial" w:hint="eastAsia"/>
                <w:sz w:val="18"/>
                <w:szCs w:val="18"/>
              </w:rPr>
              <w:t>增加适建范围与控制要求</w:t>
            </w:r>
          </w:p>
        </w:tc>
      </w:tr>
      <w:tr w:rsidR="00DA44CC">
        <w:trPr>
          <w:cantSplit/>
          <w:trHeight w:val="655"/>
          <w:jc w:val="center"/>
        </w:trPr>
        <w:tc>
          <w:tcPr>
            <w:tcW w:w="826" w:type="dxa"/>
            <w:vMerge w:val="restart"/>
            <w:vAlign w:val="center"/>
          </w:tcPr>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R</w:t>
            </w:r>
          </w:p>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居住用地</w:t>
            </w:r>
          </w:p>
        </w:tc>
        <w:tc>
          <w:tcPr>
            <w:tcW w:w="909" w:type="dxa"/>
            <w:vMerge w:val="restart"/>
            <w:vAlign w:val="center"/>
          </w:tcPr>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R1</w:t>
            </w:r>
          </w:p>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R2</w:t>
            </w:r>
          </w:p>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R3</w:t>
            </w:r>
          </w:p>
        </w:tc>
        <w:tc>
          <w:tcPr>
            <w:tcW w:w="1734" w:type="dxa"/>
            <w:vMerge w:val="restart"/>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住宅和相应的服务设施用地</w:t>
            </w:r>
          </w:p>
        </w:tc>
        <w:tc>
          <w:tcPr>
            <w:tcW w:w="5747" w:type="dxa"/>
            <w:gridSpan w:val="2"/>
            <w:vAlign w:val="center"/>
          </w:tcPr>
          <w:p w:rsidR="00DA44CC" w:rsidRDefault="00C53A1B">
            <w:pPr>
              <w:adjustRightInd w:val="0"/>
              <w:snapToGrid w:val="0"/>
              <w:spacing w:line="288" w:lineRule="auto"/>
              <w:jc w:val="left"/>
              <w:rPr>
                <w:rFonts w:ascii="Arial" w:eastAsia="黑体" w:hAnsi="Arial" w:cs="Arial"/>
                <w:sz w:val="18"/>
                <w:szCs w:val="18"/>
              </w:rPr>
            </w:pPr>
            <w:bookmarkStart w:id="2" w:name="OLE_LINK14"/>
            <w:r>
              <w:rPr>
                <w:rFonts w:ascii="Arial" w:eastAsia="黑体" w:hAnsi="Arial" w:cs="Arial" w:hint="eastAsia"/>
                <w:sz w:val="18"/>
                <w:szCs w:val="18"/>
              </w:rPr>
              <w:t>一般道路交通设施、一般市政环保设施</w:t>
            </w:r>
            <w:bookmarkEnd w:id="2"/>
          </w:p>
        </w:tc>
      </w:tr>
      <w:tr w:rsidR="00DA44CC">
        <w:trPr>
          <w:cantSplit/>
          <w:trHeight w:val="768"/>
          <w:jc w:val="center"/>
        </w:trPr>
        <w:tc>
          <w:tcPr>
            <w:tcW w:w="826"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909"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1734" w:type="dxa"/>
            <w:vMerge/>
            <w:vAlign w:val="center"/>
          </w:tcPr>
          <w:p w:rsidR="00DA44CC" w:rsidRDefault="00DA44CC">
            <w:pPr>
              <w:adjustRightInd w:val="0"/>
              <w:snapToGrid w:val="0"/>
              <w:spacing w:line="288" w:lineRule="auto"/>
              <w:jc w:val="left"/>
              <w:rPr>
                <w:rFonts w:ascii="Arial" w:eastAsia="黑体" w:hAnsi="Arial" w:cs="Arial"/>
                <w:sz w:val="18"/>
                <w:szCs w:val="18"/>
              </w:rPr>
            </w:pPr>
          </w:p>
        </w:tc>
        <w:tc>
          <w:tcPr>
            <w:tcW w:w="3393"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B</w:t>
            </w:r>
            <w:r>
              <w:rPr>
                <w:rFonts w:ascii="Arial" w:eastAsia="黑体" w:hAnsi="Arial" w:cs="Arial" w:hint="eastAsia"/>
                <w:sz w:val="18"/>
                <w:szCs w:val="18"/>
              </w:rPr>
              <w:t>类中除</w:t>
            </w:r>
            <w:r>
              <w:rPr>
                <w:rFonts w:ascii="Arial" w:eastAsia="黑体" w:hAnsi="Arial" w:cs="Arial" w:hint="eastAsia"/>
                <w:sz w:val="18"/>
                <w:szCs w:val="18"/>
              </w:rPr>
              <w:t>B12</w:t>
            </w:r>
            <w:r>
              <w:rPr>
                <w:rFonts w:ascii="Arial" w:eastAsia="黑体" w:hAnsi="Arial" w:cs="Arial" w:hint="eastAsia"/>
                <w:sz w:val="18"/>
                <w:szCs w:val="18"/>
              </w:rPr>
              <w:t>批发市场用地之外的商业服务业设施用地</w:t>
            </w:r>
          </w:p>
        </w:tc>
        <w:tc>
          <w:tcPr>
            <w:tcW w:w="2354"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不超过总建筑面积的</w:t>
            </w:r>
            <w:r>
              <w:rPr>
                <w:rFonts w:ascii="Arial" w:eastAsia="黑体" w:hAnsi="Arial" w:cs="Arial" w:hint="eastAsia"/>
                <w:sz w:val="18"/>
                <w:szCs w:val="18"/>
              </w:rPr>
              <w:t>7</w:t>
            </w:r>
            <w:r>
              <w:rPr>
                <w:rFonts w:ascii="Arial" w:eastAsia="黑体" w:hAnsi="Arial" w:cs="Arial" w:hint="eastAsia"/>
                <w:sz w:val="18"/>
                <w:szCs w:val="18"/>
              </w:rPr>
              <w:t>％</w:t>
            </w:r>
          </w:p>
        </w:tc>
      </w:tr>
      <w:tr w:rsidR="00DA44CC">
        <w:trPr>
          <w:cantSplit/>
          <w:trHeight w:val="525"/>
          <w:jc w:val="center"/>
        </w:trPr>
        <w:tc>
          <w:tcPr>
            <w:tcW w:w="826"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909"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1734" w:type="dxa"/>
            <w:vMerge/>
            <w:vAlign w:val="center"/>
          </w:tcPr>
          <w:p w:rsidR="00DA44CC" w:rsidRDefault="00DA44CC">
            <w:pPr>
              <w:adjustRightInd w:val="0"/>
              <w:snapToGrid w:val="0"/>
              <w:spacing w:line="288" w:lineRule="auto"/>
              <w:jc w:val="left"/>
              <w:rPr>
                <w:rFonts w:ascii="Arial" w:eastAsia="黑体" w:hAnsi="Arial" w:cs="Arial"/>
                <w:sz w:val="18"/>
                <w:szCs w:val="18"/>
              </w:rPr>
            </w:pPr>
          </w:p>
        </w:tc>
        <w:tc>
          <w:tcPr>
            <w:tcW w:w="3393"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A</w:t>
            </w:r>
            <w:r>
              <w:rPr>
                <w:rFonts w:ascii="Arial" w:eastAsia="黑体" w:hAnsi="Arial" w:cs="Arial" w:hint="eastAsia"/>
                <w:sz w:val="18"/>
                <w:szCs w:val="18"/>
              </w:rPr>
              <w:t>类公共管理与公共服务用地</w:t>
            </w:r>
          </w:p>
        </w:tc>
        <w:tc>
          <w:tcPr>
            <w:tcW w:w="2354"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不超过总建筑面积的</w:t>
            </w:r>
            <w:r>
              <w:rPr>
                <w:rFonts w:ascii="Arial" w:eastAsia="黑体" w:hAnsi="Arial" w:cs="Arial" w:hint="eastAsia"/>
                <w:sz w:val="18"/>
                <w:szCs w:val="18"/>
              </w:rPr>
              <w:t>5</w:t>
            </w:r>
            <w:r>
              <w:rPr>
                <w:rFonts w:ascii="Arial" w:eastAsia="黑体" w:hAnsi="Arial" w:cs="Arial" w:hint="eastAsia"/>
                <w:sz w:val="18"/>
                <w:szCs w:val="18"/>
              </w:rPr>
              <w:t>％</w:t>
            </w:r>
          </w:p>
        </w:tc>
      </w:tr>
      <w:tr w:rsidR="00DA44CC">
        <w:trPr>
          <w:cantSplit/>
          <w:trHeight w:val="734"/>
          <w:jc w:val="center"/>
        </w:trPr>
        <w:tc>
          <w:tcPr>
            <w:tcW w:w="826" w:type="dxa"/>
            <w:vMerge w:val="restart"/>
            <w:vAlign w:val="center"/>
          </w:tcPr>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B</w:t>
            </w:r>
          </w:p>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商业服务业设施用地</w:t>
            </w:r>
          </w:p>
        </w:tc>
        <w:tc>
          <w:tcPr>
            <w:tcW w:w="909" w:type="dxa"/>
            <w:vMerge w:val="restart"/>
            <w:vAlign w:val="center"/>
          </w:tcPr>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B1</w:t>
            </w:r>
          </w:p>
        </w:tc>
        <w:tc>
          <w:tcPr>
            <w:tcW w:w="1734" w:type="dxa"/>
            <w:vMerge w:val="restart"/>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商业及餐饮、旅馆等服务业用地</w:t>
            </w:r>
          </w:p>
        </w:tc>
        <w:tc>
          <w:tcPr>
            <w:tcW w:w="3393"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A</w:t>
            </w:r>
            <w:r>
              <w:rPr>
                <w:rFonts w:ascii="Arial" w:eastAsia="黑体" w:hAnsi="Arial" w:cs="Arial" w:hint="eastAsia"/>
                <w:sz w:val="18"/>
                <w:szCs w:val="18"/>
              </w:rPr>
              <w:t>类公共管理与公共服务用地、</w:t>
            </w:r>
            <w:r>
              <w:rPr>
                <w:rFonts w:ascii="Arial" w:eastAsia="黑体" w:hAnsi="Arial" w:cs="Arial" w:hint="eastAsia"/>
                <w:sz w:val="18"/>
                <w:szCs w:val="18"/>
              </w:rPr>
              <w:t>B</w:t>
            </w:r>
            <w:r>
              <w:rPr>
                <w:rFonts w:ascii="Arial" w:eastAsia="黑体" w:hAnsi="Arial" w:cs="Arial" w:hint="eastAsia"/>
                <w:sz w:val="18"/>
                <w:szCs w:val="18"/>
              </w:rPr>
              <w:t>类其他商业服务业设施用地</w:t>
            </w:r>
          </w:p>
        </w:tc>
        <w:tc>
          <w:tcPr>
            <w:tcW w:w="2354"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商业建筑面积不宜低于总建筑面积的</w:t>
            </w:r>
            <w:r>
              <w:rPr>
                <w:rFonts w:ascii="Arial" w:eastAsia="黑体" w:hAnsi="Arial" w:cs="Arial" w:hint="eastAsia"/>
                <w:sz w:val="18"/>
                <w:szCs w:val="18"/>
              </w:rPr>
              <w:t>50%</w:t>
            </w:r>
          </w:p>
        </w:tc>
      </w:tr>
      <w:tr w:rsidR="00DA44CC">
        <w:trPr>
          <w:cantSplit/>
          <w:trHeight w:val="752"/>
          <w:jc w:val="center"/>
        </w:trPr>
        <w:tc>
          <w:tcPr>
            <w:tcW w:w="826"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909"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1734" w:type="dxa"/>
            <w:vMerge/>
            <w:vAlign w:val="center"/>
          </w:tcPr>
          <w:p w:rsidR="00DA44CC" w:rsidRDefault="00DA44CC">
            <w:pPr>
              <w:adjustRightInd w:val="0"/>
              <w:snapToGrid w:val="0"/>
              <w:spacing w:line="288" w:lineRule="auto"/>
              <w:jc w:val="left"/>
              <w:rPr>
                <w:rFonts w:ascii="Arial" w:eastAsia="黑体" w:hAnsi="Arial" w:cs="Arial"/>
                <w:sz w:val="18"/>
                <w:szCs w:val="18"/>
              </w:rPr>
            </w:pPr>
          </w:p>
        </w:tc>
        <w:tc>
          <w:tcPr>
            <w:tcW w:w="5747" w:type="dxa"/>
            <w:gridSpan w:val="2"/>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管理与服务设施、小型医疗设施、小型社会福利设施、社区文体活动设施、一般道路交通设施、一般市政环卫措施</w:t>
            </w:r>
          </w:p>
        </w:tc>
      </w:tr>
      <w:tr w:rsidR="00DA44CC">
        <w:trPr>
          <w:cantSplit/>
          <w:trHeight w:val="409"/>
          <w:jc w:val="center"/>
        </w:trPr>
        <w:tc>
          <w:tcPr>
            <w:tcW w:w="826"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909" w:type="dxa"/>
            <w:vMerge w:val="restart"/>
            <w:vAlign w:val="center"/>
          </w:tcPr>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B2</w:t>
            </w:r>
          </w:p>
        </w:tc>
        <w:tc>
          <w:tcPr>
            <w:tcW w:w="1734" w:type="dxa"/>
            <w:vMerge w:val="restart"/>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金融保险、艺术传媒、技术服务等综合性办公用地</w:t>
            </w:r>
          </w:p>
        </w:tc>
        <w:tc>
          <w:tcPr>
            <w:tcW w:w="3393"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A</w:t>
            </w:r>
            <w:r>
              <w:rPr>
                <w:rFonts w:ascii="Arial" w:eastAsia="黑体" w:hAnsi="Arial" w:cs="Arial" w:hint="eastAsia"/>
                <w:sz w:val="18"/>
                <w:szCs w:val="18"/>
              </w:rPr>
              <w:t>类公共管理与公共服务用地、</w:t>
            </w:r>
            <w:r>
              <w:rPr>
                <w:rFonts w:ascii="Arial" w:eastAsia="黑体" w:hAnsi="Arial" w:cs="Arial" w:hint="eastAsia"/>
                <w:sz w:val="18"/>
                <w:szCs w:val="18"/>
              </w:rPr>
              <w:t>B</w:t>
            </w:r>
            <w:r>
              <w:rPr>
                <w:rFonts w:ascii="Arial" w:eastAsia="黑体" w:hAnsi="Arial" w:cs="Arial" w:hint="eastAsia"/>
                <w:sz w:val="18"/>
                <w:szCs w:val="18"/>
              </w:rPr>
              <w:t>类中除了</w:t>
            </w:r>
            <w:r>
              <w:rPr>
                <w:rFonts w:ascii="Arial" w:eastAsia="黑体" w:hAnsi="Arial" w:cs="Arial" w:hint="eastAsia"/>
                <w:sz w:val="18"/>
                <w:szCs w:val="18"/>
              </w:rPr>
              <w:t>B12</w:t>
            </w:r>
            <w:r>
              <w:rPr>
                <w:rFonts w:ascii="Arial" w:eastAsia="黑体" w:hAnsi="Arial" w:cs="Arial" w:hint="eastAsia"/>
                <w:sz w:val="18"/>
                <w:szCs w:val="18"/>
              </w:rPr>
              <w:t>批发市场用地之外的商业服务业设施用地</w:t>
            </w:r>
          </w:p>
        </w:tc>
        <w:tc>
          <w:tcPr>
            <w:tcW w:w="2354"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不超过总建筑面积的</w:t>
            </w:r>
            <w:r>
              <w:rPr>
                <w:rFonts w:ascii="Arial" w:eastAsia="黑体" w:hAnsi="Arial" w:cs="Arial" w:hint="eastAsia"/>
                <w:sz w:val="18"/>
                <w:szCs w:val="18"/>
              </w:rPr>
              <w:t>50</w:t>
            </w:r>
            <w:r>
              <w:rPr>
                <w:rFonts w:ascii="Arial" w:eastAsia="黑体" w:hAnsi="Arial" w:cs="Arial" w:hint="eastAsia"/>
                <w:sz w:val="18"/>
                <w:szCs w:val="18"/>
              </w:rPr>
              <w:t>％</w:t>
            </w:r>
          </w:p>
        </w:tc>
      </w:tr>
      <w:tr w:rsidR="00DA44CC">
        <w:trPr>
          <w:cantSplit/>
          <w:trHeight w:val="652"/>
          <w:jc w:val="center"/>
        </w:trPr>
        <w:tc>
          <w:tcPr>
            <w:tcW w:w="826"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909"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1734" w:type="dxa"/>
            <w:vMerge/>
            <w:vAlign w:val="center"/>
          </w:tcPr>
          <w:p w:rsidR="00DA44CC" w:rsidRDefault="00DA44CC">
            <w:pPr>
              <w:adjustRightInd w:val="0"/>
              <w:snapToGrid w:val="0"/>
              <w:spacing w:line="288" w:lineRule="auto"/>
              <w:jc w:val="left"/>
              <w:rPr>
                <w:rFonts w:ascii="Arial" w:eastAsia="黑体" w:hAnsi="Arial" w:cs="Arial"/>
                <w:sz w:val="18"/>
                <w:szCs w:val="18"/>
              </w:rPr>
            </w:pPr>
          </w:p>
        </w:tc>
        <w:tc>
          <w:tcPr>
            <w:tcW w:w="5747" w:type="dxa"/>
            <w:gridSpan w:val="2"/>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管理与服务设施、小型医疗设施、社区文体活动设施、一般道路交通设施、一般市政环卫设施</w:t>
            </w:r>
          </w:p>
        </w:tc>
      </w:tr>
      <w:tr w:rsidR="00DA44CC">
        <w:trPr>
          <w:cantSplit/>
          <w:trHeight w:val="573"/>
          <w:jc w:val="center"/>
        </w:trPr>
        <w:tc>
          <w:tcPr>
            <w:tcW w:w="826"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909" w:type="dxa"/>
            <w:vMerge w:val="restart"/>
            <w:vAlign w:val="center"/>
          </w:tcPr>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B3</w:t>
            </w:r>
          </w:p>
        </w:tc>
        <w:tc>
          <w:tcPr>
            <w:tcW w:w="1734" w:type="dxa"/>
            <w:vMerge w:val="restart"/>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娱乐、康体等设施用地</w:t>
            </w:r>
          </w:p>
        </w:tc>
        <w:tc>
          <w:tcPr>
            <w:tcW w:w="3393"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A</w:t>
            </w:r>
            <w:r>
              <w:rPr>
                <w:rFonts w:ascii="Arial" w:eastAsia="黑体" w:hAnsi="Arial" w:cs="Arial" w:hint="eastAsia"/>
                <w:sz w:val="18"/>
                <w:szCs w:val="18"/>
              </w:rPr>
              <w:t>类公共管理与公共服务用地、</w:t>
            </w:r>
            <w:r>
              <w:rPr>
                <w:rFonts w:ascii="Arial" w:eastAsia="黑体" w:hAnsi="Arial" w:cs="Arial" w:hint="eastAsia"/>
                <w:sz w:val="18"/>
                <w:szCs w:val="18"/>
              </w:rPr>
              <w:t>B</w:t>
            </w:r>
            <w:r>
              <w:rPr>
                <w:rFonts w:ascii="Arial" w:eastAsia="黑体" w:hAnsi="Arial" w:cs="Arial" w:hint="eastAsia"/>
                <w:sz w:val="18"/>
                <w:szCs w:val="18"/>
              </w:rPr>
              <w:t>类中除了</w:t>
            </w:r>
            <w:r>
              <w:rPr>
                <w:rFonts w:ascii="Arial" w:eastAsia="黑体" w:hAnsi="Arial" w:cs="Arial" w:hint="eastAsia"/>
                <w:sz w:val="18"/>
                <w:szCs w:val="18"/>
              </w:rPr>
              <w:t>B12</w:t>
            </w:r>
            <w:r>
              <w:rPr>
                <w:rFonts w:ascii="Arial" w:eastAsia="黑体" w:hAnsi="Arial" w:cs="Arial" w:hint="eastAsia"/>
                <w:sz w:val="18"/>
                <w:szCs w:val="18"/>
              </w:rPr>
              <w:t>批发市场用地之外的商业服务业设施用地</w:t>
            </w:r>
          </w:p>
        </w:tc>
        <w:tc>
          <w:tcPr>
            <w:tcW w:w="2354"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不超过总建筑面积的</w:t>
            </w:r>
            <w:r>
              <w:rPr>
                <w:rFonts w:ascii="Arial" w:eastAsia="黑体" w:hAnsi="Arial" w:cs="Arial" w:hint="eastAsia"/>
                <w:sz w:val="18"/>
                <w:szCs w:val="18"/>
              </w:rPr>
              <w:t>50</w:t>
            </w:r>
            <w:r>
              <w:rPr>
                <w:rFonts w:ascii="Arial" w:eastAsia="黑体" w:hAnsi="Arial" w:cs="Arial" w:hint="eastAsia"/>
                <w:sz w:val="18"/>
                <w:szCs w:val="18"/>
              </w:rPr>
              <w:t>％</w:t>
            </w:r>
          </w:p>
        </w:tc>
      </w:tr>
      <w:tr w:rsidR="00DA44CC">
        <w:trPr>
          <w:cantSplit/>
          <w:trHeight w:val="255"/>
          <w:jc w:val="center"/>
        </w:trPr>
        <w:tc>
          <w:tcPr>
            <w:tcW w:w="826"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909"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1734" w:type="dxa"/>
            <w:vMerge/>
            <w:vAlign w:val="center"/>
          </w:tcPr>
          <w:p w:rsidR="00DA44CC" w:rsidRDefault="00DA44CC">
            <w:pPr>
              <w:adjustRightInd w:val="0"/>
              <w:snapToGrid w:val="0"/>
              <w:spacing w:line="288" w:lineRule="auto"/>
              <w:jc w:val="left"/>
              <w:rPr>
                <w:rFonts w:ascii="Arial" w:eastAsia="黑体" w:hAnsi="Arial" w:cs="Arial"/>
                <w:sz w:val="18"/>
                <w:szCs w:val="18"/>
              </w:rPr>
            </w:pPr>
          </w:p>
        </w:tc>
        <w:tc>
          <w:tcPr>
            <w:tcW w:w="5747" w:type="dxa"/>
            <w:gridSpan w:val="2"/>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一般道路交通设施、一般市政环卫设施</w:t>
            </w:r>
          </w:p>
        </w:tc>
      </w:tr>
      <w:tr w:rsidR="00DA44CC">
        <w:trPr>
          <w:cantSplit/>
          <w:trHeight w:val="573"/>
          <w:jc w:val="center"/>
        </w:trPr>
        <w:tc>
          <w:tcPr>
            <w:tcW w:w="826" w:type="dxa"/>
            <w:vMerge w:val="restart"/>
            <w:vAlign w:val="center"/>
          </w:tcPr>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M</w:t>
            </w:r>
          </w:p>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工业用地</w:t>
            </w:r>
          </w:p>
        </w:tc>
        <w:tc>
          <w:tcPr>
            <w:tcW w:w="909" w:type="dxa"/>
            <w:vMerge w:val="restart"/>
            <w:vAlign w:val="center"/>
          </w:tcPr>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M1</w:t>
            </w:r>
          </w:p>
        </w:tc>
        <w:tc>
          <w:tcPr>
            <w:tcW w:w="1734" w:type="dxa"/>
            <w:vMerge w:val="restart"/>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厂房、库房、附属设施</w:t>
            </w:r>
          </w:p>
        </w:tc>
        <w:tc>
          <w:tcPr>
            <w:tcW w:w="3393"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配套行政办公及生活服务设施</w:t>
            </w:r>
          </w:p>
        </w:tc>
        <w:tc>
          <w:tcPr>
            <w:tcW w:w="2354" w:type="dxa"/>
            <w:vAlign w:val="center"/>
          </w:tcPr>
          <w:p w:rsidR="00DA44CC" w:rsidRDefault="00C53A1B">
            <w:pPr>
              <w:adjustRightInd w:val="0"/>
              <w:snapToGrid w:val="0"/>
              <w:spacing w:line="288" w:lineRule="auto"/>
              <w:jc w:val="left"/>
              <w:rPr>
                <w:rFonts w:ascii="Arial" w:eastAsia="黑体" w:hAnsi="Arial" w:cs="Arial"/>
                <w:sz w:val="18"/>
                <w:szCs w:val="18"/>
              </w:rPr>
            </w:pPr>
            <w:bookmarkStart w:id="3" w:name="OLE_LINK48"/>
            <w:r>
              <w:rPr>
                <w:rFonts w:ascii="Arial" w:eastAsia="黑体" w:hAnsi="Arial" w:cs="Arial" w:hint="eastAsia"/>
                <w:sz w:val="18"/>
                <w:szCs w:val="18"/>
              </w:rPr>
              <w:t>不超过总用地面积</w:t>
            </w:r>
            <w:r>
              <w:rPr>
                <w:rFonts w:ascii="Arial" w:eastAsia="黑体" w:hAnsi="Arial" w:cs="Arial" w:hint="eastAsia"/>
                <w:sz w:val="18"/>
                <w:szCs w:val="18"/>
              </w:rPr>
              <w:t>7%</w:t>
            </w:r>
            <w:bookmarkEnd w:id="3"/>
            <w:r>
              <w:rPr>
                <w:rFonts w:ascii="Arial" w:eastAsia="黑体" w:hAnsi="Arial" w:cs="Arial" w:hint="eastAsia"/>
                <w:sz w:val="18"/>
                <w:szCs w:val="18"/>
              </w:rPr>
              <w:t>，</w:t>
            </w:r>
            <w:bookmarkStart w:id="4" w:name="OLE_LINK2"/>
            <w:r>
              <w:rPr>
                <w:rFonts w:ascii="Arial" w:eastAsia="黑体" w:hAnsi="Arial" w:cs="Arial" w:hint="eastAsia"/>
                <w:sz w:val="18"/>
                <w:szCs w:val="18"/>
              </w:rPr>
              <w:t>不超过总建筑面积</w:t>
            </w:r>
            <w:r>
              <w:rPr>
                <w:rFonts w:ascii="Arial" w:eastAsia="黑体" w:hAnsi="Arial" w:cs="Arial" w:hint="eastAsia"/>
                <w:sz w:val="18"/>
                <w:szCs w:val="18"/>
              </w:rPr>
              <w:t>15</w:t>
            </w:r>
            <w:r>
              <w:rPr>
                <w:rFonts w:ascii="Arial" w:eastAsia="黑体" w:hAnsi="Arial" w:cs="Arial" w:hint="eastAsia"/>
                <w:sz w:val="18"/>
                <w:szCs w:val="18"/>
              </w:rPr>
              <w:t>％</w:t>
            </w:r>
            <w:bookmarkEnd w:id="4"/>
          </w:p>
        </w:tc>
      </w:tr>
      <w:tr w:rsidR="00DA44CC">
        <w:trPr>
          <w:cantSplit/>
          <w:trHeight w:val="548"/>
          <w:jc w:val="center"/>
        </w:trPr>
        <w:tc>
          <w:tcPr>
            <w:tcW w:w="826"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909"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1734" w:type="dxa"/>
            <w:vMerge/>
            <w:vAlign w:val="center"/>
          </w:tcPr>
          <w:p w:rsidR="00DA44CC" w:rsidRDefault="00DA44CC">
            <w:pPr>
              <w:adjustRightInd w:val="0"/>
              <w:snapToGrid w:val="0"/>
              <w:spacing w:line="288" w:lineRule="auto"/>
              <w:jc w:val="left"/>
              <w:rPr>
                <w:rFonts w:ascii="Arial" w:eastAsia="黑体" w:hAnsi="Arial" w:cs="Arial"/>
                <w:sz w:val="18"/>
                <w:szCs w:val="18"/>
              </w:rPr>
            </w:pPr>
          </w:p>
        </w:tc>
        <w:tc>
          <w:tcPr>
            <w:tcW w:w="5747" w:type="dxa"/>
            <w:gridSpan w:val="2"/>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小型商业服务设施、小型医疗设施、一般道路交通设施、一般市政环卫设施</w:t>
            </w:r>
          </w:p>
        </w:tc>
      </w:tr>
      <w:tr w:rsidR="00DA44CC">
        <w:trPr>
          <w:cantSplit/>
          <w:trHeight w:val="449"/>
          <w:jc w:val="center"/>
        </w:trPr>
        <w:tc>
          <w:tcPr>
            <w:tcW w:w="826"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909" w:type="dxa"/>
            <w:vMerge w:val="restart"/>
            <w:vAlign w:val="center"/>
          </w:tcPr>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M2 M3</w:t>
            </w:r>
          </w:p>
        </w:tc>
        <w:tc>
          <w:tcPr>
            <w:tcW w:w="1734" w:type="dxa"/>
            <w:vMerge w:val="restart"/>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厂房、库房、附属设施</w:t>
            </w:r>
          </w:p>
        </w:tc>
        <w:tc>
          <w:tcPr>
            <w:tcW w:w="3393"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配套行政办</w:t>
            </w:r>
            <w:r>
              <w:rPr>
                <w:rFonts w:ascii="Arial" w:eastAsia="黑体" w:hAnsi="Arial" w:cs="Arial" w:hint="eastAsia"/>
                <w:sz w:val="18"/>
                <w:szCs w:val="18"/>
              </w:rPr>
              <w:t xml:space="preserve"> </w:t>
            </w:r>
            <w:r>
              <w:rPr>
                <w:rFonts w:ascii="Arial" w:eastAsia="黑体" w:hAnsi="Arial" w:cs="Arial" w:hint="eastAsia"/>
                <w:sz w:val="18"/>
                <w:szCs w:val="18"/>
              </w:rPr>
              <w:t>公及生活服务设施</w:t>
            </w:r>
          </w:p>
        </w:tc>
        <w:tc>
          <w:tcPr>
            <w:tcW w:w="2354"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不超过总用地面积</w:t>
            </w:r>
            <w:r>
              <w:rPr>
                <w:rFonts w:ascii="Arial" w:eastAsia="黑体" w:hAnsi="Arial" w:cs="Arial" w:hint="eastAsia"/>
                <w:sz w:val="18"/>
                <w:szCs w:val="18"/>
              </w:rPr>
              <w:t>7%,</w:t>
            </w:r>
            <w:r>
              <w:rPr>
                <w:rFonts w:ascii="Arial" w:eastAsia="黑体" w:hAnsi="Arial" w:cs="Arial" w:hint="eastAsia"/>
                <w:sz w:val="18"/>
                <w:szCs w:val="18"/>
              </w:rPr>
              <w:t>不超过总建筑面积</w:t>
            </w:r>
            <w:r>
              <w:rPr>
                <w:rFonts w:ascii="Arial" w:eastAsia="黑体" w:hAnsi="Arial" w:cs="Arial" w:hint="eastAsia"/>
                <w:sz w:val="18"/>
                <w:szCs w:val="18"/>
              </w:rPr>
              <w:t>15</w:t>
            </w:r>
            <w:r>
              <w:rPr>
                <w:rFonts w:ascii="Arial" w:eastAsia="黑体" w:hAnsi="Arial" w:cs="Arial" w:hint="eastAsia"/>
                <w:sz w:val="18"/>
                <w:szCs w:val="18"/>
              </w:rPr>
              <w:t>％</w:t>
            </w:r>
          </w:p>
        </w:tc>
      </w:tr>
      <w:tr w:rsidR="00DA44CC">
        <w:trPr>
          <w:cantSplit/>
          <w:trHeight w:val="486"/>
          <w:jc w:val="center"/>
        </w:trPr>
        <w:tc>
          <w:tcPr>
            <w:tcW w:w="826"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909"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1734" w:type="dxa"/>
            <w:vMerge/>
            <w:vAlign w:val="center"/>
          </w:tcPr>
          <w:p w:rsidR="00DA44CC" w:rsidRDefault="00DA44CC">
            <w:pPr>
              <w:adjustRightInd w:val="0"/>
              <w:snapToGrid w:val="0"/>
              <w:spacing w:line="288" w:lineRule="auto"/>
              <w:jc w:val="left"/>
              <w:rPr>
                <w:rFonts w:ascii="Arial" w:eastAsia="黑体" w:hAnsi="Arial" w:cs="Arial"/>
                <w:sz w:val="18"/>
                <w:szCs w:val="18"/>
              </w:rPr>
            </w:pPr>
          </w:p>
        </w:tc>
        <w:tc>
          <w:tcPr>
            <w:tcW w:w="5747" w:type="dxa"/>
            <w:gridSpan w:val="2"/>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一般道路交通设施、一般市政环卫设施</w:t>
            </w:r>
          </w:p>
        </w:tc>
      </w:tr>
      <w:tr w:rsidR="00DA44CC">
        <w:trPr>
          <w:cantSplit/>
          <w:trHeight w:val="632"/>
          <w:jc w:val="center"/>
        </w:trPr>
        <w:tc>
          <w:tcPr>
            <w:tcW w:w="826" w:type="dxa"/>
            <w:vMerge w:val="restart"/>
            <w:vAlign w:val="center"/>
          </w:tcPr>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W</w:t>
            </w:r>
          </w:p>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物流仓储用地</w:t>
            </w:r>
          </w:p>
        </w:tc>
        <w:tc>
          <w:tcPr>
            <w:tcW w:w="909" w:type="dxa"/>
            <w:vMerge w:val="restart"/>
            <w:vAlign w:val="center"/>
          </w:tcPr>
          <w:p w:rsidR="00DA44CC" w:rsidRDefault="00C53A1B">
            <w:pPr>
              <w:adjustRightInd w:val="0"/>
              <w:snapToGrid w:val="0"/>
              <w:spacing w:line="288" w:lineRule="auto"/>
              <w:rPr>
                <w:rFonts w:ascii="Arial" w:eastAsia="黑体" w:hAnsi="Arial" w:cs="Arial"/>
                <w:sz w:val="18"/>
                <w:szCs w:val="18"/>
              </w:rPr>
            </w:pPr>
            <w:bookmarkStart w:id="5" w:name="OLE_LINK11"/>
            <w:r>
              <w:rPr>
                <w:rFonts w:ascii="Arial" w:eastAsia="黑体" w:hAnsi="Arial" w:cs="Arial" w:hint="eastAsia"/>
                <w:sz w:val="18"/>
                <w:szCs w:val="18"/>
              </w:rPr>
              <w:t>W1</w:t>
            </w:r>
            <w:bookmarkEnd w:id="5"/>
          </w:p>
        </w:tc>
        <w:tc>
          <w:tcPr>
            <w:tcW w:w="1734" w:type="dxa"/>
            <w:vMerge w:val="restart"/>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仓库</w:t>
            </w:r>
          </w:p>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附属设施</w:t>
            </w:r>
          </w:p>
        </w:tc>
        <w:tc>
          <w:tcPr>
            <w:tcW w:w="3393"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配套办公、配套单身宿舍、小型商业服务设施</w:t>
            </w:r>
          </w:p>
        </w:tc>
        <w:tc>
          <w:tcPr>
            <w:tcW w:w="2354"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不超过总建筑面积</w:t>
            </w:r>
            <w:r>
              <w:rPr>
                <w:rFonts w:ascii="Arial" w:eastAsia="黑体" w:hAnsi="Arial" w:cs="Arial" w:hint="eastAsia"/>
                <w:sz w:val="18"/>
                <w:szCs w:val="18"/>
              </w:rPr>
              <w:t>20</w:t>
            </w:r>
            <w:r>
              <w:rPr>
                <w:rFonts w:ascii="Arial" w:eastAsia="黑体" w:hAnsi="Arial" w:cs="Arial" w:hint="eastAsia"/>
                <w:sz w:val="18"/>
                <w:szCs w:val="18"/>
              </w:rPr>
              <w:t>％</w:t>
            </w:r>
          </w:p>
        </w:tc>
      </w:tr>
      <w:tr w:rsidR="00DA44CC">
        <w:trPr>
          <w:cantSplit/>
          <w:trHeight w:val="298"/>
          <w:jc w:val="center"/>
        </w:trPr>
        <w:tc>
          <w:tcPr>
            <w:tcW w:w="826"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909"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1734" w:type="dxa"/>
            <w:vMerge/>
            <w:vAlign w:val="center"/>
          </w:tcPr>
          <w:p w:rsidR="00DA44CC" w:rsidRDefault="00DA44CC">
            <w:pPr>
              <w:adjustRightInd w:val="0"/>
              <w:snapToGrid w:val="0"/>
              <w:spacing w:line="288" w:lineRule="auto"/>
              <w:jc w:val="left"/>
              <w:rPr>
                <w:rFonts w:ascii="Arial" w:eastAsia="黑体" w:hAnsi="Arial" w:cs="Arial"/>
                <w:sz w:val="18"/>
                <w:szCs w:val="18"/>
              </w:rPr>
            </w:pPr>
          </w:p>
        </w:tc>
        <w:tc>
          <w:tcPr>
            <w:tcW w:w="5747" w:type="dxa"/>
            <w:gridSpan w:val="2"/>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一般道路交通设施、一般市政环卫设施</w:t>
            </w:r>
          </w:p>
        </w:tc>
      </w:tr>
      <w:tr w:rsidR="00DA44CC">
        <w:trPr>
          <w:cantSplit/>
          <w:trHeight w:val="298"/>
          <w:jc w:val="center"/>
        </w:trPr>
        <w:tc>
          <w:tcPr>
            <w:tcW w:w="826"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909" w:type="dxa"/>
            <w:vMerge w:val="restart"/>
            <w:vAlign w:val="center"/>
          </w:tcPr>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W2</w:t>
            </w:r>
          </w:p>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W3</w:t>
            </w:r>
          </w:p>
        </w:tc>
        <w:tc>
          <w:tcPr>
            <w:tcW w:w="1734" w:type="dxa"/>
            <w:vMerge w:val="restart"/>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仓库</w:t>
            </w:r>
          </w:p>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附属设施</w:t>
            </w:r>
          </w:p>
        </w:tc>
        <w:tc>
          <w:tcPr>
            <w:tcW w:w="3393"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配套办公、小型商业服务设施</w:t>
            </w:r>
          </w:p>
        </w:tc>
        <w:tc>
          <w:tcPr>
            <w:tcW w:w="2354"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不超过总建筑面积</w:t>
            </w:r>
            <w:r>
              <w:rPr>
                <w:rFonts w:ascii="Arial" w:eastAsia="黑体" w:hAnsi="Arial" w:cs="Arial" w:hint="eastAsia"/>
                <w:sz w:val="18"/>
                <w:szCs w:val="18"/>
              </w:rPr>
              <w:t>20</w:t>
            </w:r>
            <w:r>
              <w:rPr>
                <w:rFonts w:ascii="Arial" w:eastAsia="黑体" w:hAnsi="Arial" w:cs="Arial" w:hint="eastAsia"/>
                <w:sz w:val="18"/>
                <w:szCs w:val="18"/>
              </w:rPr>
              <w:t>％</w:t>
            </w:r>
          </w:p>
        </w:tc>
      </w:tr>
      <w:tr w:rsidR="00DA44CC">
        <w:trPr>
          <w:cantSplit/>
          <w:trHeight w:val="298"/>
          <w:jc w:val="center"/>
        </w:trPr>
        <w:tc>
          <w:tcPr>
            <w:tcW w:w="826"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909"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1734" w:type="dxa"/>
            <w:vMerge/>
            <w:vAlign w:val="center"/>
          </w:tcPr>
          <w:p w:rsidR="00DA44CC" w:rsidRDefault="00DA44CC">
            <w:pPr>
              <w:adjustRightInd w:val="0"/>
              <w:snapToGrid w:val="0"/>
              <w:spacing w:line="288" w:lineRule="auto"/>
              <w:jc w:val="left"/>
              <w:rPr>
                <w:rFonts w:ascii="Arial" w:eastAsia="黑体" w:hAnsi="Arial" w:cs="Arial"/>
                <w:sz w:val="18"/>
                <w:szCs w:val="18"/>
              </w:rPr>
            </w:pPr>
          </w:p>
        </w:tc>
        <w:tc>
          <w:tcPr>
            <w:tcW w:w="5747" w:type="dxa"/>
            <w:gridSpan w:val="2"/>
            <w:vAlign w:val="center"/>
          </w:tcPr>
          <w:p w:rsidR="00DA44CC" w:rsidRDefault="00C53A1B">
            <w:pPr>
              <w:adjustRightInd w:val="0"/>
              <w:snapToGrid w:val="0"/>
              <w:spacing w:line="288" w:lineRule="auto"/>
              <w:jc w:val="left"/>
              <w:rPr>
                <w:rFonts w:ascii="Arial" w:eastAsia="黑体" w:hAnsi="Arial" w:cs="Arial"/>
                <w:sz w:val="18"/>
                <w:szCs w:val="18"/>
              </w:rPr>
            </w:pPr>
            <w:bookmarkStart w:id="6" w:name="OLE_LINK17"/>
            <w:r>
              <w:rPr>
                <w:rFonts w:ascii="Arial" w:eastAsia="黑体" w:hAnsi="Arial" w:cs="Arial" w:hint="eastAsia"/>
                <w:sz w:val="18"/>
                <w:szCs w:val="18"/>
              </w:rPr>
              <w:t>一般道路交通设施、一般市政环卫设施</w:t>
            </w:r>
            <w:bookmarkEnd w:id="6"/>
          </w:p>
        </w:tc>
      </w:tr>
      <w:tr w:rsidR="00DA44CC">
        <w:trPr>
          <w:cantSplit/>
          <w:trHeight w:val="1200"/>
          <w:jc w:val="center"/>
        </w:trPr>
        <w:tc>
          <w:tcPr>
            <w:tcW w:w="826" w:type="dxa"/>
            <w:vMerge w:val="restart"/>
            <w:vAlign w:val="center"/>
          </w:tcPr>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lastRenderedPageBreak/>
              <w:t>S</w:t>
            </w:r>
          </w:p>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道路与交通设施用地</w:t>
            </w:r>
          </w:p>
        </w:tc>
        <w:tc>
          <w:tcPr>
            <w:tcW w:w="909" w:type="dxa"/>
            <w:vAlign w:val="center"/>
          </w:tcPr>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S3</w:t>
            </w:r>
          </w:p>
        </w:tc>
        <w:tc>
          <w:tcPr>
            <w:tcW w:w="1734"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交通枢纽用地</w:t>
            </w:r>
          </w:p>
        </w:tc>
        <w:tc>
          <w:tcPr>
            <w:tcW w:w="3393" w:type="dxa"/>
            <w:vAlign w:val="center"/>
          </w:tcPr>
          <w:p w:rsidR="00DA44CC" w:rsidRDefault="00C53A1B">
            <w:pPr>
              <w:adjustRightInd w:val="0"/>
              <w:snapToGrid w:val="0"/>
              <w:spacing w:line="288" w:lineRule="auto"/>
              <w:jc w:val="left"/>
              <w:rPr>
                <w:rFonts w:ascii="Arial" w:eastAsia="黑体" w:hAnsi="Arial" w:cs="Arial"/>
                <w:sz w:val="18"/>
                <w:szCs w:val="18"/>
              </w:rPr>
            </w:pPr>
            <w:bookmarkStart w:id="7" w:name="OLE_LINK21"/>
            <w:r>
              <w:rPr>
                <w:rFonts w:ascii="Arial" w:eastAsia="黑体" w:hAnsi="Arial" w:cs="Arial" w:hint="eastAsia"/>
                <w:sz w:val="18"/>
                <w:szCs w:val="18"/>
              </w:rPr>
              <w:t>商业用地，</w:t>
            </w:r>
            <w:bookmarkEnd w:id="7"/>
            <w:r>
              <w:rPr>
                <w:rFonts w:ascii="Arial" w:eastAsia="黑体" w:hAnsi="Arial" w:cs="Arial" w:hint="eastAsia"/>
                <w:sz w:val="18"/>
                <w:szCs w:val="18"/>
              </w:rPr>
              <w:t>一般道路交通设施、一般市政环卫设施</w:t>
            </w:r>
          </w:p>
        </w:tc>
        <w:tc>
          <w:tcPr>
            <w:tcW w:w="2354"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交通设施建筑面积不宜低于总建筑面积的</w:t>
            </w:r>
            <w:r>
              <w:rPr>
                <w:rFonts w:ascii="Arial" w:eastAsia="黑体" w:hAnsi="Arial" w:cs="Arial" w:hint="eastAsia"/>
                <w:sz w:val="18"/>
                <w:szCs w:val="18"/>
              </w:rPr>
              <w:t>70%</w:t>
            </w:r>
          </w:p>
        </w:tc>
      </w:tr>
      <w:tr w:rsidR="00DA44CC">
        <w:trPr>
          <w:cantSplit/>
          <w:trHeight w:val="376"/>
          <w:jc w:val="center"/>
        </w:trPr>
        <w:tc>
          <w:tcPr>
            <w:tcW w:w="826"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909" w:type="dxa"/>
            <w:vAlign w:val="center"/>
          </w:tcPr>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S4</w:t>
            </w:r>
          </w:p>
        </w:tc>
        <w:tc>
          <w:tcPr>
            <w:tcW w:w="1734"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交通场站用地</w:t>
            </w:r>
          </w:p>
        </w:tc>
        <w:tc>
          <w:tcPr>
            <w:tcW w:w="3393"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商业用地，一般道路交通设施、一般市政环卫设施</w:t>
            </w:r>
          </w:p>
        </w:tc>
        <w:tc>
          <w:tcPr>
            <w:tcW w:w="2354"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交通设施建筑面积不宜低于总建筑面积的</w:t>
            </w:r>
            <w:r>
              <w:rPr>
                <w:rFonts w:ascii="Arial" w:eastAsia="黑体" w:hAnsi="Arial" w:cs="Arial" w:hint="eastAsia"/>
                <w:sz w:val="18"/>
                <w:szCs w:val="18"/>
              </w:rPr>
              <w:t>70%</w:t>
            </w:r>
          </w:p>
        </w:tc>
      </w:tr>
      <w:tr w:rsidR="00DA44CC">
        <w:trPr>
          <w:cantSplit/>
          <w:trHeight w:val="909"/>
          <w:jc w:val="center"/>
        </w:trPr>
        <w:tc>
          <w:tcPr>
            <w:tcW w:w="826" w:type="dxa"/>
            <w:vMerge w:val="restart"/>
            <w:vAlign w:val="center"/>
          </w:tcPr>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G</w:t>
            </w:r>
          </w:p>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绿地与广场用地</w:t>
            </w:r>
          </w:p>
        </w:tc>
        <w:tc>
          <w:tcPr>
            <w:tcW w:w="909" w:type="dxa"/>
            <w:vAlign w:val="center"/>
          </w:tcPr>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G1</w:t>
            </w:r>
          </w:p>
        </w:tc>
        <w:tc>
          <w:tcPr>
            <w:tcW w:w="1734"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公园绿地</w:t>
            </w:r>
          </w:p>
        </w:tc>
        <w:tc>
          <w:tcPr>
            <w:tcW w:w="3393"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小型商业服务设施、一般道路交通设施、一般市政环卫设施</w:t>
            </w:r>
          </w:p>
        </w:tc>
        <w:tc>
          <w:tcPr>
            <w:tcW w:w="2354"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不超过总用地面积</w:t>
            </w:r>
            <w:r>
              <w:rPr>
                <w:rFonts w:ascii="Arial" w:eastAsia="黑体" w:hAnsi="Arial" w:cs="Arial" w:hint="eastAsia"/>
                <w:sz w:val="18"/>
                <w:szCs w:val="18"/>
              </w:rPr>
              <w:t>5</w:t>
            </w:r>
            <w:r>
              <w:rPr>
                <w:rFonts w:ascii="Arial" w:eastAsia="黑体" w:hAnsi="Arial" w:cs="Arial" w:hint="eastAsia"/>
                <w:sz w:val="18"/>
                <w:szCs w:val="18"/>
              </w:rPr>
              <w:t>％。植物园、游乐园等可适当提高比例</w:t>
            </w:r>
          </w:p>
        </w:tc>
      </w:tr>
      <w:tr w:rsidR="00DA44CC">
        <w:trPr>
          <w:cantSplit/>
          <w:trHeight w:val="1041"/>
          <w:jc w:val="center"/>
        </w:trPr>
        <w:tc>
          <w:tcPr>
            <w:tcW w:w="826"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909" w:type="dxa"/>
            <w:vAlign w:val="center"/>
          </w:tcPr>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G2</w:t>
            </w:r>
          </w:p>
        </w:tc>
        <w:tc>
          <w:tcPr>
            <w:tcW w:w="1734"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防护绿地</w:t>
            </w:r>
          </w:p>
        </w:tc>
        <w:tc>
          <w:tcPr>
            <w:tcW w:w="3393"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一般道路交通设施、一般市政环卫设施</w:t>
            </w:r>
          </w:p>
        </w:tc>
        <w:tc>
          <w:tcPr>
            <w:tcW w:w="2354"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不超过总用地面积</w:t>
            </w:r>
            <w:r>
              <w:rPr>
                <w:rFonts w:ascii="Arial" w:eastAsia="黑体" w:hAnsi="Arial" w:cs="Arial" w:hint="eastAsia"/>
                <w:sz w:val="18"/>
                <w:szCs w:val="18"/>
              </w:rPr>
              <w:t>2</w:t>
            </w:r>
            <w:r>
              <w:rPr>
                <w:rFonts w:ascii="Arial" w:eastAsia="黑体" w:hAnsi="Arial" w:cs="Arial" w:hint="eastAsia"/>
                <w:sz w:val="18"/>
                <w:szCs w:val="18"/>
              </w:rPr>
              <w:t>％</w:t>
            </w:r>
          </w:p>
        </w:tc>
      </w:tr>
      <w:tr w:rsidR="00DA44CC">
        <w:trPr>
          <w:cantSplit/>
          <w:trHeight w:val="905"/>
          <w:jc w:val="center"/>
        </w:trPr>
        <w:tc>
          <w:tcPr>
            <w:tcW w:w="826" w:type="dxa"/>
            <w:vMerge/>
            <w:vAlign w:val="center"/>
          </w:tcPr>
          <w:p w:rsidR="00DA44CC" w:rsidRDefault="00DA44CC">
            <w:pPr>
              <w:adjustRightInd w:val="0"/>
              <w:snapToGrid w:val="0"/>
              <w:spacing w:line="288" w:lineRule="auto"/>
              <w:rPr>
                <w:rFonts w:ascii="Arial" w:eastAsia="黑体" w:hAnsi="Arial" w:cs="Arial"/>
                <w:sz w:val="18"/>
                <w:szCs w:val="18"/>
              </w:rPr>
            </w:pPr>
          </w:p>
        </w:tc>
        <w:tc>
          <w:tcPr>
            <w:tcW w:w="909" w:type="dxa"/>
            <w:vAlign w:val="center"/>
          </w:tcPr>
          <w:p w:rsidR="00DA44CC" w:rsidRDefault="00C53A1B">
            <w:pPr>
              <w:adjustRightInd w:val="0"/>
              <w:snapToGrid w:val="0"/>
              <w:spacing w:line="288" w:lineRule="auto"/>
              <w:rPr>
                <w:rFonts w:ascii="Arial" w:eastAsia="黑体" w:hAnsi="Arial" w:cs="Arial"/>
                <w:sz w:val="18"/>
                <w:szCs w:val="18"/>
              </w:rPr>
            </w:pPr>
            <w:r>
              <w:rPr>
                <w:rFonts w:ascii="Arial" w:eastAsia="黑体" w:hAnsi="Arial" w:cs="Arial" w:hint="eastAsia"/>
                <w:sz w:val="18"/>
                <w:szCs w:val="18"/>
              </w:rPr>
              <w:t>G3</w:t>
            </w:r>
          </w:p>
        </w:tc>
        <w:tc>
          <w:tcPr>
            <w:tcW w:w="1734"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广场用地</w:t>
            </w:r>
          </w:p>
        </w:tc>
        <w:tc>
          <w:tcPr>
            <w:tcW w:w="3393"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小型商业服务设施、一般道路交通设施、一般市政环卫设施</w:t>
            </w:r>
          </w:p>
        </w:tc>
        <w:tc>
          <w:tcPr>
            <w:tcW w:w="2354" w:type="dxa"/>
            <w:vAlign w:val="center"/>
          </w:tcPr>
          <w:p w:rsidR="00DA44CC" w:rsidRDefault="00C53A1B">
            <w:pPr>
              <w:adjustRightInd w:val="0"/>
              <w:snapToGrid w:val="0"/>
              <w:spacing w:line="288" w:lineRule="auto"/>
              <w:jc w:val="left"/>
              <w:rPr>
                <w:rFonts w:ascii="Arial" w:eastAsia="黑体" w:hAnsi="Arial" w:cs="Arial"/>
                <w:sz w:val="18"/>
                <w:szCs w:val="18"/>
              </w:rPr>
            </w:pPr>
            <w:r>
              <w:rPr>
                <w:rFonts w:ascii="Arial" w:eastAsia="黑体" w:hAnsi="Arial" w:cs="Arial" w:hint="eastAsia"/>
                <w:sz w:val="18"/>
                <w:szCs w:val="18"/>
              </w:rPr>
              <w:t>不超过总用地面积</w:t>
            </w:r>
            <w:r>
              <w:rPr>
                <w:rFonts w:ascii="Arial" w:eastAsia="黑体" w:hAnsi="Arial" w:cs="Arial" w:hint="eastAsia"/>
                <w:sz w:val="18"/>
                <w:szCs w:val="18"/>
              </w:rPr>
              <w:t>10</w:t>
            </w:r>
            <w:r>
              <w:rPr>
                <w:rFonts w:ascii="Arial" w:eastAsia="黑体" w:hAnsi="Arial" w:cs="Arial" w:hint="eastAsia"/>
                <w:sz w:val="18"/>
                <w:szCs w:val="18"/>
              </w:rPr>
              <w:t>％，该类用地容积率不大于</w:t>
            </w:r>
            <w:r>
              <w:rPr>
                <w:rFonts w:ascii="Arial" w:eastAsia="黑体" w:hAnsi="Arial" w:cs="Arial" w:hint="eastAsia"/>
                <w:sz w:val="18"/>
                <w:szCs w:val="18"/>
              </w:rPr>
              <w:t>0.1</w:t>
            </w:r>
          </w:p>
        </w:tc>
      </w:tr>
    </w:tbl>
    <w:p w:rsidR="00DA44CC" w:rsidRDefault="00C53A1B">
      <w:pPr>
        <w:adjustRightInd w:val="0"/>
        <w:snapToGrid w:val="0"/>
        <w:rPr>
          <w:rFonts w:ascii="黑体" w:eastAsia="黑体" w:hAnsi="黑体"/>
          <w:sz w:val="18"/>
          <w:szCs w:val="18"/>
        </w:rPr>
      </w:pPr>
      <w:r>
        <w:rPr>
          <w:rFonts w:ascii="黑体" w:eastAsia="黑体" w:hAnsi="黑体" w:hint="eastAsia"/>
          <w:sz w:val="18"/>
          <w:szCs w:val="18"/>
        </w:rPr>
        <w:t>注：(1)管理与服务设施：包括社区的居委会、警务室、服务中心、服务站，及配套管理用房等；</w:t>
      </w:r>
    </w:p>
    <w:p w:rsidR="00DA44CC" w:rsidRDefault="00C53A1B">
      <w:pPr>
        <w:adjustRightInd w:val="0"/>
        <w:snapToGrid w:val="0"/>
        <w:ind w:firstLineChars="200" w:firstLine="360"/>
        <w:rPr>
          <w:rFonts w:ascii="黑体" w:eastAsia="黑体" w:hAnsi="黑体"/>
          <w:sz w:val="18"/>
          <w:szCs w:val="18"/>
        </w:rPr>
      </w:pPr>
      <w:r>
        <w:rPr>
          <w:rFonts w:ascii="黑体" w:eastAsia="黑体" w:hAnsi="黑体" w:hint="eastAsia"/>
          <w:sz w:val="18"/>
          <w:szCs w:val="18"/>
        </w:rPr>
        <w:t>(2)社区文体活动设施：包括社区文化中心（文化室）、社区体育活动场地、室内外运动设施、社区绿地等；</w:t>
      </w:r>
    </w:p>
    <w:p w:rsidR="00DA44CC" w:rsidRDefault="00C53A1B">
      <w:pPr>
        <w:adjustRightInd w:val="0"/>
        <w:snapToGrid w:val="0"/>
        <w:ind w:firstLineChars="200" w:firstLine="360"/>
        <w:rPr>
          <w:rFonts w:ascii="黑体" w:eastAsia="黑体" w:hAnsi="黑体"/>
          <w:sz w:val="18"/>
          <w:szCs w:val="18"/>
        </w:rPr>
      </w:pPr>
      <w:r>
        <w:rPr>
          <w:rFonts w:ascii="黑体" w:eastAsia="黑体" w:hAnsi="黑体" w:hint="eastAsia"/>
          <w:sz w:val="18"/>
          <w:szCs w:val="18"/>
        </w:rPr>
        <w:t>(3)小型商业服务设施：包括小型超市、菜市场、零售商店、餐饮、娱乐、邮政网点、电信营业厅，用于培训、金融、保险、证券等的营业网点等；</w:t>
      </w:r>
    </w:p>
    <w:p w:rsidR="00DA44CC" w:rsidRDefault="00C53A1B">
      <w:pPr>
        <w:adjustRightInd w:val="0"/>
        <w:snapToGrid w:val="0"/>
        <w:ind w:firstLineChars="200" w:firstLine="360"/>
        <w:rPr>
          <w:rFonts w:ascii="黑体" w:eastAsia="黑体" w:hAnsi="黑体"/>
          <w:sz w:val="18"/>
          <w:szCs w:val="18"/>
        </w:rPr>
      </w:pPr>
      <w:r>
        <w:rPr>
          <w:rFonts w:ascii="黑体" w:eastAsia="黑体" w:hAnsi="黑体" w:hint="eastAsia"/>
          <w:sz w:val="18"/>
          <w:szCs w:val="18"/>
        </w:rPr>
        <w:t>(4)小型医疗设施：包括社区卫生服务中心、诊所等；</w:t>
      </w:r>
    </w:p>
    <w:p w:rsidR="00DA44CC" w:rsidRDefault="00C53A1B">
      <w:pPr>
        <w:adjustRightInd w:val="0"/>
        <w:snapToGrid w:val="0"/>
        <w:ind w:firstLineChars="200" w:firstLine="360"/>
        <w:rPr>
          <w:rFonts w:ascii="黑体" w:eastAsia="黑体" w:hAnsi="黑体"/>
          <w:sz w:val="18"/>
          <w:szCs w:val="18"/>
        </w:rPr>
      </w:pPr>
      <w:r>
        <w:rPr>
          <w:rFonts w:ascii="黑体" w:eastAsia="黑体" w:hAnsi="黑体" w:hint="eastAsia"/>
          <w:sz w:val="18"/>
          <w:szCs w:val="18"/>
        </w:rPr>
        <w:t>(5)小型社会福利设施：包括敬老院、救助站等；</w:t>
      </w:r>
    </w:p>
    <w:p w:rsidR="00DA44CC" w:rsidRPr="007852A6" w:rsidRDefault="00C53A1B">
      <w:pPr>
        <w:adjustRightInd w:val="0"/>
        <w:snapToGrid w:val="0"/>
        <w:ind w:firstLineChars="200" w:firstLine="360"/>
        <w:rPr>
          <w:rFonts w:ascii="黑体" w:eastAsia="黑体" w:hAnsi="黑体"/>
          <w:sz w:val="18"/>
          <w:szCs w:val="18"/>
        </w:rPr>
      </w:pPr>
      <w:r>
        <w:rPr>
          <w:rFonts w:ascii="黑体" w:eastAsia="黑体" w:hAnsi="黑体" w:hint="eastAsia"/>
          <w:sz w:val="18"/>
          <w:szCs w:val="18"/>
        </w:rPr>
        <w:t>(6)一般道路交</w:t>
      </w:r>
      <w:r w:rsidRPr="007852A6">
        <w:rPr>
          <w:rFonts w:ascii="黑体" w:eastAsia="黑体" w:hAnsi="黑体" w:hint="eastAsia"/>
          <w:sz w:val="18"/>
          <w:szCs w:val="18"/>
        </w:rPr>
        <w:t>通设施：包括公交首末站、港湾式停靠站、公共停车场库、天桥、地道等；</w:t>
      </w:r>
    </w:p>
    <w:p w:rsidR="00DA44CC" w:rsidRPr="007852A6" w:rsidRDefault="00C53A1B">
      <w:pPr>
        <w:adjustRightInd w:val="0"/>
        <w:snapToGrid w:val="0"/>
        <w:ind w:firstLineChars="200" w:firstLine="360"/>
        <w:rPr>
          <w:rFonts w:ascii="黑体" w:eastAsia="黑体" w:hAnsi="黑体"/>
          <w:sz w:val="18"/>
          <w:szCs w:val="18"/>
        </w:rPr>
      </w:pPr>
      <w:r w:rsidRPr="007852A6">
        <w:rPr>
          <w:rFonts w:ascii="黑体" w:eastAsia="黑体" w:hAnsi="黑体" w:hint="eastAsia"/>
          <w:sz w:val="18"/>
          <w:szCs w:val="18"/>
        </w:rPr>
        <w:t>(7)一般市政环卫设施：包括</w:t>
      </w:r>
      <w:r w:rsidR="00526524" w:rsidRPr="007852A6">
        <w:rPr>
          <w:rFonts w:ascii="黑体" w:eastAsia="黑体" w:hAnsi="黑体" w:hint="eastAsia"/>
          <w:sz w:val="18"/>
          <w:szCs w:val="18"/>
        </w:rPr>
        <w:t>给水</w:t>
      </w:r>
      <w:r w:rsidRPr="007852A6">
        <w:rPr>
          <w:rFonts w:ascii="黑体" w:eastAsia="黑体" w:hAnsi="黑体" w:hint="eastAsia"/>
          <w:sz w:val="18"/>
          <w:szCs w:val="18"/>
        </w:rPr>
        <w:t>泵站、</w:t>
      </w:r>
      <w:r w:rsidR="00526524" w:rsidRPr="007852A6">
        <w:rPr>
          <w:rFonts w:ascii="黑体" w:eastAsia="黑体" w:hAnsi="黑体" w:hint="eastAsia"/>
          <w:sz w:val="18"/>
          <w:szCs w:val="18"/>
        </w:rPr>
        <w:t>雨水</w:t>
      </w:r>
      <w:r w:rsidRPr="007852A6">
        <w:rPr>
          <w:rFonts w:ascii="黑体" w:eastAsia="黑体" w:hAnsi="黑体" w:hint="eastAsia"/>
          <w:sz w:val="18"/>
          <w:szCs w:val="18"/>
        </w:rPr>
        <w:t>泵站、</w:t>
      </w:r>
      <w:r w:rsidR="00526524" w:rsidRPr="007852A6">
        <w:rPr>
          <w:rFonts w:ascii="黑体" w:eastAsia="黑体" w:hAnsi="黑体" w:hint="eastAsia"/>
          <w:sz w:val="18"/>
          <w:szCs w:val="18"/>
        </w:rPr>
        <w:t>污水泵站、配电室、</w:t>
      </w:r>
      <w:r w:rsidRPr="007852A6">
        <w:rPr>
          <w:rFonts w:ascii="黑体" w:eastAsia="黑体" w:hAnsi="黑体" w:hint="eastAsia"/>
          <w:sz w:val="18"/>
          <w:szCs w:val="18"/>
        </w:rPr>
        <w:t>移动基站（</w:t>
      </w:r>
      <w:r w:rsidR="00526524" w:rsidRPr="007852A6">
        <w:rPr>
          <w:rFonts w:ascii="黑体" w:eastAsia="黑体" w:hAnsi="黑体" w:hint="eastAsia"/>
          <w:sz w:val="18"/>
          <w:szCs w:val="18"/>
        </w:rPr>
        <w:t>机</w:t>
      </w:r>
      <w:r w:rsidRPr="007852A6">
        <w:rPr>
          <w:rFonts w:ascii="黑体" w:eastAsia="黑体" w:hAnsi="黑体" w:hint="eastAsia"/>
          <w:sz w:val="18"/>
          <w:szCs w:val="18"/>
        </w:rPr>
        <w:t>房）、垃圾转运站、垃圾收集点、再生资源回收点、公共厕所、环卫工人休息场所间等。</w:t>
      </w:r>
    </w:p>
    <w:p w:rsidR="00DA44CC" w:rsidRPr="007852A6" w:rsidRDefault="00DA44CC">
      <w:pPr>
        <w:adjustRightInd w:val="0"/>
        <w:snapToGrid w:val="0"/>
        <w:ind w:firstLineChars="200" w:firstLine="360"/>
        <w:rPr>
          <w:rFonts w:ascii="黑体" w:eastAsia="黑体" w:hAnsi="黑体"/>
          <w:sz w:val="18"/>
          <w:szCs w:val="18"/>
        </w:rPr>
      </w:pPr>
    </w:p>
    <w:p w:rsidR="00DA44CC" w:rsidRPr="007852A6" w:rsidRDefault="00C53A1B">
      <w:pPr>
        <w:adjustRightInd w:val="0"/>
        <w:snapToGrid w:val="0"/>
        <w:spacing w:line="600" w:lineRule="exact"/>
        <w:jc w:val="center"/>
        <w:rPr>
          <w:rFonts w:ascii="方正黑体简体" w:eastAsia="方正黑体简体" w:hAnsi="宋体" w:cs="黑体"/>
          <w:color w:val="000000"/>
          <w:sz w:val="32"/>
          <w:szCs w:val="32"/>
        </w:rPr>
      </w:pPr>
      <w:r w:rsidRPr="007852A6">
        <w:rPr>
          <w:rFonts w:ascii="方正黑体简体" w:eastAsia="方正黑体简体" w:hAnsi="宋体" w:cs="黑体" w:hint="eastAsia"/>
          <w:color w:val="000000"/>
          <w:sz w:val="32"/>
          <w:szCs w:val="32"/>
        </w:rPr>
        <w:t>第四节  建设用地兼容性规定</w:t>
      </w:r>
    </w:p>
    <w:p w:rsidR="00DA44CC" w:rsidRPr="007852A6"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sidRPr="007852A6">
        <w:rPr>
          <w:rFonts w:ascii="方正黑体简体" w:eastAsia="方正黑体简体" w:hAnsi="宋体" w:cs="黑体" w:hint="eastAsia"/>
          <w:color w:val="000000"/>
          <w:sz w:val="32"/>
          <w:szCs w:val="32"/>
        </w:rPr>
        <w:t>第八条  兼容性使用要求</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sidRPr="007852A6">
        <w:rPr>
          <w:rFonts w:ascii="方正仿宋简体" w:eastAsia="方正仿宋简体" w:hAnsi="宋体" w:cs="仿宋_GB2312" w:hint="eastAsia"/>
          <w:color w:val="000000"/>
          <w:sz w:val="32"/>
          <w:szCs w:val="32"/>
        </w:rPr>
        <w:t>建设用地的使用应遵循兼容性原则，控规已明确兼容性范围的，按控制规执行。控规未明确兼容性范围的，根据</w:t>
      </w:r>
      <w:r w:rsidR="00526524" w:rsidRPr="007852A6">
        <w:rPr>
          <w:rFonts w:ascii="方正仿宋简体" w:eastAsia="方正仿宋简体" w:hAnsi="宋体" w:cs="仿宋_GB2312" w:hint="eastAsia"/>
          <w:color w:val="000000"/>
          <w:sz w:val="32"/>
          <w:szCs w:val="32"/>
        </w:rPr>
        <w:t>本通则确定</w:t>
      </w:r>
      <w:r w:rsidRPr="007852A6">
        <w:rPr>
          <w:rFonts w:ascii="方正仿宋简体" w:eastAsia="方正仿宋简体" w:hAnsi="宋体" w:cs="仿宋_GB2312" w:hint="eastAsia"/>
          <w:color w:val="000000"/>
          <w:sz w:val="32"/>
          <w:szCs w:val="32"/>
        </w:rPr>
        <w:t>其兼容性范围。</w:t>
      </w:r>
    </w:p>
    <w:p w:rsidR="00DA44CC" w:rsidRPr="007852A6" w:rsidRDefault="00C53A1B">
      <w:pPr>
        <w:adjustRightInd w:val="0"/>
        <w:snapToGrid w:val="0"/>
        <w:spacing w:line="600" w:lineRule="exact"/>
        <w:ind w:firstLineChars="200" w:firstLine="640"/>
        <w:rPr>
          <w:rFonts w:ascii="方正黑体简体" w:eastAsia="方正黑体简体" w:hAnsi="宋体" w:cs="黑体"/>
          <w:sz w:val="32"/>
          <w:szCs w:val="32"/>
        </w:rPr>
      </w:pPr>
      <w:r>
        <w:rPr>
          <w:rFonts w:ascii="方正黑体简体" w:eastAsia="方正黑体简体" w:hAnsi="宋体" w:cs="黑体" w:hint="eastAsia"/>
          <w:color w:val="000000"/>
          <w:sz w:val="32"/>
          <w:szCs w:val="32"/>
        </w:rPr>
        <w:t>第九条  用地兼容</w:t>
      </w:r>
      <w:r w:rsidRPr="007852A6">
        <w:rPr>
          <w:rFonts w:ascii="方正黑体简体" w:eastAsia="方正黑体简体" w:hAnsi="宋体" w:cs="黑体" w:hint="eastAsia"/>
          <w:sz w:val="32"/>
          <w:szCs w:val="32"/>
        </w:rPr>
        <w:t>性规定</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sidRPr="007852A6">
        <w:rPr>
          <w:rFonts w:ascii="方正仿宋简体" w:eastAsia="方正仿宋简体" w:hAnsi="宋体" w:cs="仿宋_GB2312" w:hint="eastAsia"/>
          <w:sz w:val="32"/>
          <w:szCs w:val="32"/>
        </w:rPr>
        <w:t>用地兼容是指控规确定的</w:t>
      </w:r>
      <w:r w:rsidR="00526524" w:rsidRPr="007852A6">
        <w:rPr>
          <w:rFonts w:ascii="方正仿宋简体" w:eastAsia="方正仿宋简体" w:hAnsi="宋体" w:cs="仿宋_GB2312" w:hint="eastAsia"/>
          <w:sz w:val="32"/>
          <w:szCs w:val="32"/>
        </w:rPr>
        <w:t>单一</w:t>
      </w:r>
      <w:r w:rsidRPr="007852A6">
        <w:rPr>
          <w:rFonts w:ascii="方正仿宋简体" w:eastAsia="方正仿宋简体" w:hAnsi="宋体" w:cs="仿宋_GB2312" w:hint="eastAsia"/>
          <w:sz w:val="32"/>
          <w:szCs w:val="32"/>
        </w:rPr>
        <w:t>建设用地性质，在进行具体建设用地规划管理的过程中，允许局部或全部转换为其他用地功能。可分为部分兼容、完全兼容、禁止兼容三</w:t>
      </w:r>
      <w:r>
        <w:rPr>
          <w:rFonts w:ascii="方正仿宋简体" w:eastAsia="方正仿宋简体" w:hAnsi="宋体" w:cs="仿宋_GB2312" w:hint="eastAsia"/>
          <w:color w:val="000000"/>
          <w:sz w:val="32"/>
          <w:szCs w:val="32"/>
        </w:rPr>
        <w:t>类。</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lastRenderedPageBreak/>
        <w:t>（1）部分兼容：是指在地块原规划用地性质上，兼容其他一种用地性质的用地规模比例不超过30%，或兼容其他两种及两种以上用地性质的用地规模比例之和不超过40%。地块用地性质以主导性质表示。被兼容的功能无法进行用地功能划分的，以上兼容比例按建筑面积规模计算。同一街区内相邻的同性质用地，可合并考虑兼容比例。</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（2）完全兼容：是指在地块原规划用地性质上，兼容其他一种或几种性质用地的用地规模比例可达100%。</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（3）禁止兼容：是指在地块原规划用地性质上不允许混合或转变为其他用地性质。</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居住用地、公共管理与公共服务设施用地、商业服务业设施用地、工业用地、物流仓储用地用地兼容性要求应按照表2-3--表2-5执行。</w:t>
      </w:r>
    </w:p>
    <w:p w:rsidR="00DA44CC" w:rsidRDefault="00C53A1B">
      <w:pPr>
        <w:adjustRightInd w:val="0"/>
        <w:ind w:left="703"/>
        <w:jc w:val="center"/>
        <w:rPr>
          <w:rFonts w:ascii="黑体" w:eastAsia="黑体" w:hAnsi="黑体"/>
          <w:bCs/>
          <w:szCs w:val="22"/>
        </w:rPr>
      </w:pPr>
      <w:r>
        <w:rPr>
          <w:rFonts w:ascii="黑体" w:eastAsia="黑体" w:hAnsi="黑体"/>
          <w:bCs/>
          <w:szCs w:val="22"/>
        </w:rPr>
        <w:t>表</w:t>
      </w:r>
      <w:r>
        <w:rPr>
          <w:rFonts w:ascii="黑体" w:eastAsia="黑体" w:hAnsi="黑体" w:hint="eastAsia"/>
          <w:bCs/>
          <w:szCs w:val="22"/>
        </w:rPr>
        <w:t>2-3</w:t>
      </w:r>
      <w:r>
        <w:rPr>
          <w:rFonts w:ascii="黑体" w:eastAsia="黑体" w:hAnsi="黑体"/>
          <w:bCs/>
          <w:szCs w:val="22"/>
        </w:rPr>
        <w:t>居住用地兼容性规定表</w:t>
      </w:r>
    </w:p>
    <w:tbl>
      <w:tblPr>
        <w:tblW w:w="90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7"/>
        <w:gridCol w:w="547"/>
        <w:gridCol w:w="8026"/>
      </w:tblGrid>
      <w:tr w:rsidR="00DA44CC">
        <w:trPr>
          <w:trHeight w:val="978"/>
          <w:jc w:val="center"/>
        </w:trPr>
        <w:tc>
          <w:tcPr>
            <w:tcW w:w="1004" w:type="dxa"/>
            <w:gridSpan w:val="2"/>
            <w:tcBorders>
              <w:tl2br w:val="single" w:sz="4" w:space="0" w:color="auto"/>
            </w:tcBorders>
            <w:vAlign w:val="center"/>
          </w:tcPr>
          <w:p w:rsidR="00DA44CC" w:rsidRDefault="00C53A1B">
            <w:pPr>
              <w:adjustRightInd w:val="0"/>
              <w:snapToGrid w:val="0"/>
              <w:spacing w:line="312" w:lineRule="auto"/>
              <w:jc w:val="center"/>
              <w:rPr>
                <w:rFonts w:ascii="Arial" w:eastAsia="黑体" w:hAnsi="Arial" w:cs="Arial"/>
                <w:sz w:val="18"/>
                <w:szCs w:val="18"/>
              </w:rPr>
            </w:pPr>
            <w:r>
              <w:rPr>
                <w:rFonts w:ascii="Arial" w:eastAsia="黑体" w:hAnsi="Arial" w:cs="Arial" w:hint="eastAsia"/>
                <w:sz w:val="18"/>
                <w:szCs w:val="18"/>
              </w:rPr>
              <w:t xml:space="preserve">     </w:t>
            </w:r>
            <w:r>
              <w:rPr>
                <w:rFonts w:ascii="Arial" w:eastAsia="黑体" w:hAnsi="Arial" w:cs="Arial" w:hint="eastAsia"/>
                <w:sz w:val="18"/>
                <w:szCs w:val="18"/>
              </w:rPr>
              <w:t>用地</w:t>
            </w:r>
          </w:p>
          <w:p w:rsidR="00DA44CC" w:rsidRDefault="00C53A1B">
            <w:pPr>
              <w:adjustRightInd w:val="0"/>
              <w:snapToGrid w:val="0"/>
              <w:spacing w:line="312" w:lineRule="auto"/>
              <w:jc w:val="center"/>
              <w:rPr>
                <w:rFonts w:ascii="Arial" w:eastAsia="黑体" w:hAnsi="Arial" w:cs="Arial"/>
                <w:sz w:val="18"/>
                <w:szCs w:val="18"/>
              </w:rPr>
            </w:pPr>
            <w:r>
              <w:rPr>
                <w:rFonts w:ascii="Arial" w:eastAsia="黑体" w:hAnsi="Arial" w:cs="Arial" w:hint="eastAsia"/>
                <w:sz w:val="18"/>
                <w:szCs w:val="18"/>
              </w:rPr>
              <w:t xml:space="preserve">     </w:t>
            </w:r>
            <w:r>
              <w:rPr>
                <w:rFonts w:ascii="Arial" w:eastAsia="黑体" w:hAnsi="Arial" w:cs="Arial" w:hint="eastAsia"/>
                <w:sz w:val="18"/>
                <w:szCs w:val="18"/>
              </w:rPr>
              <w:t>性质</w:t>
            </w:r>
            <w:r>
              <w:rPr>
                <w:rFonts w:ascii="Arial" w:eastAsia="黑体" w:hAnsi="Arial" w:cs="Arial" w:hint="eastAsia"/>
                <w:sz w:val="18"/>
                <w:szCs w:val="18"/>
              </w:rPr>
              <w:t xml:space="preserve"> </w:t>
            </w:r>
          </w:p>
          <w:p w:rsidR="00DA44CC" w:rsidRDefault="00C53A1B">
            <w:pPr>
              <w:adjustRightInd w:val="0"/>
              <w:snapToGrid w:val="0"/>
              <w:spacing w:line="312" w:lineRule="auto"/>
              <w:rPr>
                <w:rFonts w:ascii="Arial" w:eastAsia="黑体" w:hAnsi="Arial" w:cs="Arial"/>
                <w:sz w:val="18"/>
                <w:szCs w:val="18"/>
              </w:rPr>
            </w:pPr>
            <w:r>
              <w:rPr>
                <w:rFonts w:ascii="Arial" w:eastAsia="黑体" w:hAnsi="Arial" w:cs="Arial" w:hint="eastAsia"/>
                <w:sz w:val="18"/>
                <w:szCs w:val="18"/>
              </w:rPr>
              <w:t>兼容</w:t>
            </w:r>
          </w:p>
          <w:p w:rsidR="00DA44CC" w:rsidRDefault="00C53A1B">
            <w:pPr>
              <w:adjustRightInd w:val="0"/>
              <w:snapToGrid w:val="0"/>
              <w:spacing w:line="312" w:lineRule="auto"/>
              <w:rPr>
                <w:rFonts w:ascii="Arial" w:eastAsia="黑体" w:hAnsi="Arial" w:cs="Arial"/>
                <w:sz w:val="18"/>
                <w:szCs w:val="18"/>
              </w:rPr>
            </w:pPr>
            <w:r>
              <w:rPr>
                <w:rFonts w:ascii="Arial" w:eastAsia="黑体" w:hAnsi="Arial" w:cs="Arial" w:hint="eastAsia"/>
                <w:sz w:val="18"/>
                <w:szCs w:val="18"/>
              </w:rPr>
              <w:t>类型</w:t>
            </w:r>
          </w:p>
        </w:tc>
        <w:tc>
          <w:tcPr>
            <w:tcW w:w="8026" w:type="dxa"/>
            <w:vAlign w:val="center"/>
          </w:tcPr>
          <w:p w:rsidR="00DA44CC" w:rsidRDefault="00C53A1B">
            <w:pPr>
              <w:adjustRightInd w:val="0"/>
              <w:snapToGrid w:val="0"/>
              <w:spacing w:line="312" w:lineRule="auto"/>
              <w:jc w:val="center"/>
              <w:rPr>
                <w:rFonts w:ascii="Arial" w:eastAsia="黑体" w:hAnsi="Arial" w:cs="Arial"/>
                <w:sz w:val="18"/>
                <w:szCs w:val="18"/>
              </w:rPr>
            </w:pPr>
            <w:r>
              <w:rPr>
                <w:rFonts w:ascii="Arial" w:eastAsia="黑体" w:hAnsi="Arial" w:cs="Arial" w:hint="eastAsia"/>
                <w:sz w:val="18"/>
                <w:szCs w:val="18"/>
              </w:rPr>
              <w:t>居住用地</w:t>
            </w:r>
            <w:r>
              <w:rPr>
                <w:rFonts w:ascii="Arial" w:eastAsia="黑体" w:hAnsi="Arial" w:cs="Arial" w:hint="eastAsia"/>
                <w:sz w:val="18"/>
                <w:szCs w:val="18"/>
              </w:rPr>
              <w:t>(R)</w:t>
            </w:r>
          </w:p>
        </w:tc>
      </w:tr>
      <w:tr w:rsidR="00DA44CC" w:rsidTr="00D43F73">
        <w:trPr>
          <w:trHeight w:val="794"/>
          <w:jc w:val="center"/>
        </w:trPr>
        <w:tc>
          <w:tcPr>
            <w:tcW w:w="457" w:type="dxa"/>
            <w:vMerge w:val="restart"/>
            <w:vAlign w:val="center"/>
          </w:tcPr>
          <w:p w:rsidR="00DA44CC" w:rsidRDefault="00C53A1B">
            <w:pPr>
              <w:adjustRightInd w:val="0"/>
              <w:snapToGrid w:val="0"/>
              <w:spacing w:line="312" w:lineRule="auto"/>
              <w:jc w:val="center"/>
              <w:rPr>
                <w:rFonts w:ascii="Arial" w:eastAsia="黑体" w:hAnsi="Arial" w:cs="Arial"/>
                <w:sz w:val="18"/>
                <w:szCs w:val="18"/>
              </w:rPr>
            </w:pPr>
            <w:r>
              <w:rPr>
                <w:rFonts w:ascii="Arial" w:eastAsia="黑体" w:hAnsi="Arial" w:cs="Arial" w:hint="eastAsia"/>
                <w:sz w:val="18"/>
                <w:szCs w:val="18"/>
              </w:rPr>
              <w:t>部</w:t>
            </w:r>
          </w:p>
          <w:p w:rsidR="00DA44CC" w:rsidRDefault="00C53A1B">
            <w:pPr>
              <w:adjustRightInd w:val="0"/>
              <w:snapToGrid w:val="0"/>
              <w:spacing w:line="312" w:lineRule="auto"/>
              <w:jc w:val="center"/>
              <w:rPr>
                <w:rFonts w:ascii="Arial" w:eastAsia="黑体" w:hAnsi="Arial" w:cs="Arial"/>
                <w:sz w:val="18"/>
                <w:szCs w:val="18"/>
              </w:rPr>
            </w:pPr>
            <w:r>
              <w:rPr>
                <w:rFonts w:ascii="Arial" w:eastAsia="黑体" w:hAnsi="Arial" w:cs="Arial" w:hint="eastAsia"/>
                <w:sz w:val="18"/>
                <w:szCs w:val="18"/>
              </w:rPr>
              <w:t>分</w:t>
            </w:r>
          </w:p>
          <w:p w:rsidR="00DA44CC" w:rsidRDefault="00C53A1B">
            <w:pPr>
              <w:adjustRightInd w:val="0"/>
              <w:snapToGrid w:val="0"/>
              <w:spacing w:line="312" w:lineRule="auto"/>
              <w:jc w:val="center"/>
              <w:rPr>
                <w:rFonts w:ascii="Arial" w:eastAsia="黑体" w:hAnsi="Arial" w:cs="Arial"/>
                <w:sz w:val="18"/>
                <w:szCs w:val="18"/>
              </w:rPr>
            </w:pPr>
            <w:r>
              <w:rPr>
                <w:rFonts w:ascii="Arial" w:eastAsia="黑体" w:hAnsi="Arial" w:cs="Arial" w:hint="eastAsia"/>
                <w:sz w:val="18"/>
                <w:szCs w:val="18"/>
              </w:rPr>
              <w:t>兼</w:t>
            </w:r>
          </w:p>
          <w:p w:rsidR="00DA44CC" w:rsidRDefault="00C53A1B">
            <w:pPr>
              <w:adjustRightInd w:val="0"/>
              <w:snapToGrid w:val="0"/>
              <w:spacing w:line="312" w:lineRule="auto"/>
              <w:jc w:val="center"/>
              <w:rPr>
                <w:rFonts w:ascii="Arial" w:eastAsia="黑体" w:hAnsi="Arial" w:cs="Arial"/>
                <w:sz w:val="18"/>
                <w:szCs w:val="18"/>
              </w:rPr>
            </w:pPr>
            <w:r>
              <w:rPr>
                <w:rFonts w:ascii="Arial" w:eastAsia="黑体" w:hAnsi="Arial" w:cs="Arial" w:hint="eastAsia"/>
                <w:sz w:val="18"/>
                <w:szCs w:val="18"/>
              </w:rPr>
              <w:t>容</w:t>
            </w:r>
          </w:p>
        </w:tc>
        <w:tc>
          <w:tcPr>
            <w:tcW w:w="547" w:type="dxa"/>
            <w:vAlign w:val="center"/>
          </w:tcPr>
          <w:p w:rsidR="00DA44CC" w:rsidRDefault="00C53A1B">
            <w:pPr>
              <w:adjustRightInd w:val="0"/>
              <w:snapToGrid w:val="0"/>
              <w:spacing w:line="312" w:lineRule="auto"/>
              <w:jc w:val="center"/>
              <w:rPr>
                <w:rFonts w:ascii="Arial" w:eastAsia="黑体" w:hAnsi="Arial" w:cs="Arial"/>
                <w:sz w:val="18"/>
                <w:szCs w:val="18"/>
              </w:rPr>
            </w:pPr>
            <w:r>
              <w:rPr>
                <w:rFonts w:ascii="Arial" w:eastAsia="黑体" w:hAnsi="Arial" w:cs="Arial" w:hint="eastAsia"/>
                <w:sz w:val="18"/>
                <w:szCs w:val="18"/>
              </w:rPr>
              <w:t>允许</w:t>
            </w:r>
          </w:p>
        </w:tc>
        <w:tc>
          <w:tcPr>
            <w:tcW w:w="8026" w:type="dxa"/>
            <w:vAlign w:val="center"/>
          </w:tcPr>
          <w:p w:rsidR="00DA44CC" w:rsidRDefault="00C53A1B">
            <w:pPr>
              <w:adjustRightInd w:val="0"/>
              <w:snapToGrid w:val="0"/>
              <w:spacing w:line="312" w:lineRule="auto"/>
              <w:jc w:val="center"/>
              <w:rPr>
                <w:rFonts w:ascii="Arial" w:eastAsia="黑体" w:hAnsi="Arial" w:cs="Arial"/>
                <w:sz w:val="18"/>
                <w:szCs w:val="18"/>
              </w:rPr>
            </w:pPr>
            <w:r>
              <w:rPr>
                <w:rFonts w:ascii="Arial" w:eastAsia="黑体" w:hAnsi="Arial" w:cs="Arial" w:hint="eastAsia"/>
                <w:sz w:val="18"/>
                <w:szCs w:val="18"/>
              </w:rPr>
              <w:t>行政办公用地</w:t>
            </w:r>
            <w:r>
              <w:rPr>
                <w:rFonts w:ascii="Arial" w:eastAsia="黑体" w:hAnsi="Arial" w:cs="Arial" w:hint="eastAsia"/>
                <w:sz w:val="18"/>
                <w:szCs w:val="18"/>
              </w:rPr>
              <w:t>(A1)</w:t>
            </w:r>
            <w:r>
              <w:rPr>
                <w:rFonts w:ascii="Arial" w:eastAsia="黑体" w:hAnsi="Arial" w:cs="Arial" w:hint="eastAsia"/>
                <w:sz w:val="18"/>
                <w:szCs w:val="18"/>
              </w:rPr>
              <w:t>、文化活动用地</w:t>
            </w:r>
            <w:r>
              <w:rPr>
                <w:rFonts w:ascii="Arial" w:eastAsia="黑体" w:hAnsi="Arial" w:cs="Arial" w:hint="eastAsia"/>
                <w:sz w:val="18"/>
                <w:szCs w:val="18"/>
              </w:rPr>
              <w:t>(A22)</w:t>
            </w:r>
            <w:r>
              <w:rPr>
                <w:rFonts w:ascii="Arial" w:eastAsia="黑体" w:hAnsi="Arial" w:cs="Arial" w:hint="eastAsia"/>
                <w:sz w:val="18"/>
                <w:szCs w:val="18"/>
              </w:rPr>
              <w:t>、中小学用地</w:t>
            </w:r>
            <w:r>
              <w:rPr>
                <w:rFonts w:ascii="Arial" w:eastAsia="黑体" w:hAnsi="Arial" w:cs="Arial" w:hint="eastAsia"/>
                <w:sz w:val="18"/>
                <w:szCs w:val="18"/>
              </w:rPr>
              <w:t>(A33)</w:t>
            </w:r>
            <w:r>
              <w:rPr>
                <w:rFonts w:ascii="Arial" w:eastAsia="黑体" w:hAnsi="Arial" w:cs="Arial" w:hint="eastAsia"/>
                <w:sz w:val="18"/>
                <w:szCs w:val="18"/>
              </w:rPr>
              <w:t>、体育用地</w:t>
            </w:r>
            <w:r>
              <w:rPr>
                <w:rFonts w:ascii="Arial" w:eastAsia="黑体" w:hAnsi="Arial" w:cs="Arial" w:hint="eastAsia"/>
                <w:sz w:val="18"/>
                <w:szCs w:val="18"/>
              </w:rPr>
              <w:t>(A4)</w:t>
            </w:r>
            <w:r>
              <w:rPr>
                <w:rFonts w:ascii="Arial" w:eastAsia="黑体" w:hAnsi="Arial" w:cs="Arial" w:hint="eastAsia"/>
                <w:sz w:val="18"/>
                <w:szCs w:val="18"/>
              </w:rPr>
              <w:t>、商业用地</w:t>
            </w:r>
            <w:r>
              <w:rPr>
                <w:rFonts w:ascii="Arial" w:eastAsia="黑体" w:hAnsi="Arial" w:cs="Arial" w:hint="eastAsia"/>
                <w:sz w:val="18"/>
                <w:szCs w:val="18"/>
              </w:rPr>
              <w:t>(B1)</w:t>
            </w:r>
            <w:r>
              <w:rPr>
                <w:rFonts w:ascii="Arial" w:eastAsia="黑体" w:hAnsi="Arial" w:cs="Arial" w:hint="eastAsia"/>
                <w:sz w:val="18"/>
                <w:szCs w:val="18"/>
              </w:rPr>
              <w:t>、商务用地（</w:t>
            </w:r>
            <w:r>
              <w:rPr>
                <w:rFonts w:ascii="Arial" w:eastAsia="黑体" w:hAnsi="Arial" w:cs="Arial" w:hint="eastAsia"/>
                <w:sz w:val="18"/>
                <w:szCs w:val="18"/>
              </w:rPr>
              <w:t>B2</w:t>
            </w:r>
            <w:r>
              <w:rPr>
                <w:rFonts w:ascii="Arial" w:eastAsia="黑体" w:hAnsi="Arial" w:cs="Arial" w:hint="eastAsia"/>
                <w:sz w:val="18"/>
                <w:szCs w:val="18"/>
              </w:rPr>
              <w:t>）、其他公用设施营业网点用地</w:t>
            </w:r>
            <w:r>
              <w:rPr>
                <w:rFonts w:ascii="Arial" w:eastAsia="黑体" w:hAnsi="Arial" w:cs="Arial" w:hint="eastAsia"/>
                <w:sz w:val="18"/>
                <w:szCs w:val="18"/>
              </w:rPr>
              <w:t>(B49)</w:t>
            </w:r>
          </w:p>
        </w:tc>
      </w:tr>
      <w:tr w:rsidR="00DA44CC">
        <w:trPr>
          <w:trHeight w:val="634"/>
          <w:jc w:val="center"/>
        </w:trPr>
        <w:tc>
          <w:tcPr>
            <w:tcW w:w="457" w:type="dxa"/>
            <w:vMerge/>
            <w:vAlign w:val="center"/>
          </w:tcPr>
          <w:p w:rsidR="00DA44CC" w:rsidRDefault="00DA44CC">
            <w:pPr>
              <w:adjustRightInd w:val="0"/>
              <w:snapToGrid w:val="0"/>
              <w:spacing w:line="312" w:lineRule="auto"/>
              <w:jc w:val="center"/>
              <w:rPr>
                <w:rFonts w:ascii="Arial" w:eastAsia="黑体" w:hAnsi="Arial" w:cs="Arial"/>
                <w:sz w:val="18"/>
                <w:szCs w:val="18"/>
              </w:rPr>
            </w:pPr>
          </w:p>
        </w:tc>
        <w:tc>
          <w:tcPr>
            <w:tcW w:w="547" w:type="dxa"/>
            <w:vAlign w:val="center"/>
          </w:tcPr>
          <w:p w:rsidR="00DA44CC" w:rsidRDefault="00C53A1B">
            <w:pPr>
              <w:adjustRightInd w:val="0"/>
              <w:snapToGrid w:val="0"/>
              <w:spacing w:line="312" w:lineRule="auto"/>
              <w:jc w:val="center"/>
              <w:rPr>
                <w:rFonts w:ascii="Arial" w:eastAsia="黑体" w:hAnsi="Arial" w:cs="Arial"/>
                <w:sz w:val="18"/>
                <w:szCs w:val="18"/>
              </w:rPr>
            </w:pPr>
            <w:r>
              <w:rPr>
                <w:rFonts w:ascii="Arial" w:eastAsia="黑体" w:hAnsi="Arial" w:cs="Arial" w:hint="eastAsia"/>
                <w:sz w:val="18"/>
                <w:szCs w:val="18"/>
              </w:rPr>
              <w:t>有条件允许</w:t>
            </w:r>
          </w:p>
        </w:tc>
        <w:tc>
          <w:tcPr>
            <w:tcW w:w="8026" w:type="dxa"/>
            <w:vAlign w:val="center"/>
          </w:tcPr>
          <w:p w:rsidR="00DA44CC" w:rsidRDefault="00C53A1B">
            <w:pPr>
              <w:adjustRightInd w:val="0"/>
              <w:snapToGrid w:val="0"/>
              <w:spacing w:line="312" w:lineRule="auto"/>
              <w:jc w:val="center"/>
              <w:rPr>
                <w:rFonts w:ascii="Arial" w:eastAsia="黑体" w:hAnsi="Arial" w:cs="Arial"/>
                <w:sz w:val="18"/>
                <w:szCs w:val="18"/>
              </w:rPr>
            </w:pPr>
            <w:r>
              <w:rPr>
                <w:rFonts w:ascii="Arial" w:eastAsia="黑体" w:hAnsi="Arial" w:cs="Arial" w:hint="eastAsia"/>
                <w:sz w:val="18"/>
                <w:szCs w:val="18"/>
              </w:rPr>
              <w:t>中等专业学校（</w:t>
            </w:r>
            <w:r>
              <w:rPr>
                <w:rFonts w:ascii="Arial" w:eastAsia="黑体" w:hAnsi="Arial" w:cs="Arial" w:hint="eastAsia"/>
                <w:sz w:val="18"/>
                <w:szCs w:val="18"/>
              </w:rPr>
              <w:t>A32</w:t>
            </w:r>
            <w:r>
              <w:rPr>
                <w:rFonts w:ascii="Arial" w:eastAsia="黑体" w:hAnsi="Arial" w:cs="Arial" w:hint="eastAsia"/>
                <w:sz w:val="18"/>
                <w:szCs w:val="18"/>
              </w:rPr>
              <w:t>）、科研用地</w:t>
            </w:r>
            <w:r>
              <w:rPr>
                <w:rFonts w:ascii="Arial" w:eastAsia="黑体" w:hAnsi="Arial" w:cs="Arial" w:hint="eastAsia"/>
                <w:sz w:val="18"/>
                <w:szCs w:val="18"/>
              </w:rPr>
              <w:t>(A35)</w:t>
            </w:r>
            <w:r>
              <w:rPr>
                <w:rFonts w:ascii="Arial" w:eastAsia="黑体" w:hAnsi="Arial" w:cs="Arial" w:hint="eastAsia"/>
                <w:sz w:val="18"/>
                <w:szCs w:val="18"/>
              </w:rPr>
              <w:t>、医疗卫生用地（</w:t>
            </w:r>
            <w:r>
              <w:rPr>
                <w:rFonts w:ascii="Arial" w:eastAsia="黑体" w:hAnsi="Arial" w:cs="Arial" w:hint="eastAsia"/>
                <w:sz w:val="18"/>
                <w:szCs w:val="18"/>
              </w:rPr>
              <w:t>A5</w:t>
            </w:r>
            <w:r>
              <w:rPr>
                <w:rFonts w:ascii="Arial" w:eastAsia="黑体" w:hAnsi="Arial" w:cs="Arial" w:hint="eastAsia"/>
                <w:sz w:val="18"/>
                <w:szCs w:val="18"/>
              </w:rPr>
              <w:t>）、其他服务设施用地</w:t>
            </w:r>
            <w:r>
              <w:rPr>
                <w:rFonts w:ascii="Arial" w:eastAsia="黑体" w:hAnsi="Arial" w:cs="Arial" w:hint="eastAsia"/>
                <w:sz w:val="18"/>
                <w:szCs w:val="18"/>
              </w:rPr>
              <w:t>(B9)</w:t>
            </w:r>
            <w:r>
              <w:rPr>
                <w:rFonts w:ascii="Arial" w:eastAsia="黑体" w:hAnsi="Arial" w:cs="Arial" w:hint="eastAsia"/>
                <w:sz w:val="18"/>
                <w:szCs w:val="18"/>
              </w:rPr>
              <w:t>、道路与交通设施用地</w:t>
            </w:r>
            <w:r>
              <w:rPr>
                <w:rFonts w:ascii="Arial" w:eastAsia="黑体" w:hAnsi="Arial" w:cs="Arial" w:hint="eastAsia"/>
                <w:sz w:val="18"/>
                <w:szCs w:val="18"/>
              </w:rPr>
              <w:t>(S)</w:t>
            </w:r>
            <w:r>
              <w:rPr>
                <w:rFonts w:ascii="Arial" w:eastAsia="黑体" w:hAnsi="Arial" w:cs="Arial" w:hint="eastAsia"/>
                <w:sz w:val="18"/>
                <w:szCs w:val="18"/>
              </w:rPr>
              <w:t>、公用设施用地</w:t>
            </w:r>
            <w:r>
              <w:rPr>
                <w:rFonts w:ascii="Arial" w:eastAsia="黑体" w:hAnsi="Arial" w:cs="Arial" w:hint="eastAsia"/>
                <w:sz w:val="18"/>
                <w:szCs w:val="18"/>
              </w:rPr>
              <w:t>(U)</w:t>
            </w:r>
          </w:p>
        </w:tc>
      </w:tr>
      <w:tr w:rsidR="00DA44CC" w:rsidTr="00D43F73">
        <w:trPr>
          <w:trHeight w:val="492"/>
          <w:jc w:val="center"/>
        </w:trPr>
        <w:tc>
          <w:tcPr>
            <w:tcW w:w="1004" w:type="dxa"/>
            <w:gridSpan w:val="2"/>
            <w:vAlign w:val="center"/>
          </w:tcPr>
          <w:p w:rsidR="00DA44CC" w:rsidRDefault="00C53A1B">
            <w:pPr>
              <w:adjustRightInd w:val="0"/>
              <w:snapToGrid w:val="0"/>
              <w:spacing w:line="312" w:lineRule="auto"/>
              <w:jc w:val="center"/>
              <w:rPr>
                <w:rFonts w:ascii="Arial" w:eastAsia="黑体" w:hAnsi="Arial" w:cs="Arial"/>
                <w:sz w:val="18"/>
                <w:szCs w:val="18"/>
              </w:rPr>
            </w:pPr>
            <w:r>
              <w:rPr>
                <w:rFonts w:ascii="Arial" w:eastAsia="黑体" w:hAnsi="Arial" w:cs="Arial" w:hint="eastAsia"/>
                <w:sz w:val="18"/>
                <w:szCs w:val="18"/>
              </w:rPr>
              <w:t>完全兼容</w:t>
            </w:r>
          </w:p>
        </w:tc>
        <w:tc>
          <w:tcPr>
            <w:tcW w:w="8026" w:type="dxa"/>
            <w:vAlign w:val="center"/>
          </w:tcPr>
          <w:p w:rsidR="00DA44CC" w:rsidRDefault="00C53A1B">
            <w:pPr>
              <w:adjustRightInd w:val="0"/>
              <w:snapToGrid w:val="0"/>
              <w:spacing w:line="312" w:lineRule="auto"/>
              <w:jc w:val="center"/>
              <w:rPr>
                <w:rFonts w:ascii="Arial" w:eastAsia="黑体" w:hAnsi="Arial" w:cs="Arial"/>
                <w:sz w:val="18"/>
                <w:szCs w:val="18"/>
              </w:rPr>
            </w:pPr>
            <w:r>
              <w:rPr>
                <w:rFonts w:ascii="Arial" w:eastAsia="黑体" w:hAnsi="Arial" w:cs="Arial" w:hint="eastAsia"/>
                <w:sz w:val="18"/>
                <w:szCs w:val="18"/>
              </w:rPr>
              <w:t>社会福利用地</w:t>
            </w:r>
            <w:r>
              <w:rPr>
                <w:rFonts w:ascii="Arial" w:eastAsia="黑体" w:hAnsi="Arial" w:cs="Arial" w:hint="eastAsia"/>
                <w:sz w:val="18"/>
                <w:szCs w:val="18"/>
              </w:rPr>
              <w:t>(A6)</w:t>
            </w:r>
            <w:r>
              <w:rPr>
                <w:rFonts w:ascii="Arial" w:eastAsia="黑体" w:hAnsi="Arial" w:cs="Arial" w:hint="eastAsia"/>
                <w:sz w:val="18"/>
                <w:szCs w:val="18"/>
              </w:rPr>
              <w:t>、绿地与广场用地</w:t>
            </w:r>
            <w:r>
              <w:rPr>
                <w:rFonts w:ascii="Arial" w:eastAsia="黑体" w:hAnsi="Arial" w:cs="Arial" w:hint="eastAsia"/>
                <w:sz w:val="18"/>
                <w:szCs w:val="18"/>
              </w:rPr>
              <w:t>(G)</w:t>
            </w:r>
            <w:r>
              <w:rPr>
                <w:rFonts w:ascii="Arial" w:eastAsia="黑体" w:hAnsi="Arial" w:cs="Arial" w:hint="eastAsia"/>
                <w:sz w:val="18"/>
                <w:szCs w:val="18"/>
              </w:rPr>
              <w:t>、十五分钟生活圈居住区配套设施用地</w:t>
            </w:r>
            <w:r>
              <w:rPr>
                <w:rFonts w:ascii="Arial" w:eastAsia="黑体" w:hAnsi="Arial" w:cs="Arial" w:hint="eastAsia"/>
                <w:sz w:val="18"/>
                <w:szCs w:val="18"/>
              </w:rPr>
              <w:t>(AR)</w:t>
            </w:r>
          </w:p>
        </w:tc>
      </w:tr>
      <w:tr w:rsidR="00DA44CC" w:rsidTr="00D43F73">
        <w:trPr>
          <w:trHeight w:val="476"/>
          <w:jc w:val="center"/>
        </w:trPr>
        <w:tc>
          <w:tcPr>
            <w:tcW w:w="1004" w:type="dxa"/>
            <w:gridSpan w:val="2"/>
            <w:vAlign w:val="center"/>
          </w:tcPr>
          <w:p w:rsidR="00DA44CC" w:rsidRDefault="00C53A1B">
            <w:pPr>
              <w:adjustRightInd w:val="0"/>
              <w:snapToGrid w:val="0"/>
              <w:spacing w:line="312" w:lineRule="auto"/>
              <w:jc w:val="center"/>
              <w:rPr>
                <w:rFonts w:ascii="Arial" w:eastAsia="黑体" w:hAnsi="Arial" w:cs="Arial"/>
                <w:sz w:val="18"/>
                <w:szCs w:val="18"/>
              </w:rPr>
            </w:pPr>
            <w:r>
              <w:rPr>
                <w:rFonts w:ascii="Arial" w:eastAsia="黑体" w:hAnsi="Arial" w:cs="Arial" w:hint="eastAsia"/>
                <w:sz w:val="18"/>
                <w:szCs w:val="18"/>
              </w:rPr>
              <w:t>禁止兼容</w:t>
            </w:r>
          </w:p>
        </w:tc>
        <w:tc>
          <w:tcPr>
            <w:tcW w:w="8026" w:type="dxa"/>
            <w:vAlign w:val="center"/>
          </w:tcPr>
          <w:p w:rsidR="00DA44CC" w:rsidRDefault="00C53A1B">
            <w:pPr>
              <w:adjustRightInd w:val="0"/>
              <w:snapToGrid w:val="0"/>
              <w:spacing w:line="312" w:lineRule="auto"/>
              <w:jc w:val="center"/>
              <w:rPr>
                <w:rFonts w:ascii="Arial" w:eastAsia="黑体" w:hAnsi="Arial" w:cs="Arial"/>
                <w:sz w:val="18"/>
                <w:szCs w:val="18"/>
              </w:rPr>
            </w:pPr>
            <w:r>
              <w:rPr>
                <w:rFonts w:ascii="Arial" w:eastAsia="黑体" w:hAnsi="Arial" w:cs="Arial" w:hint="eastAsia"/>
                <w:sz w:val="18"/>
                <w:szCs w:val="18"/>
              </w:rPr>
              <w:t>批发市场用地</w:t>
            </w:r>
            <w:r>
              <w:rPr>
                <w:rFonts w:ascii="Arial" w:eastAsia="黑体" w:hAnsi="Arial" w:cs="Arial" w:hint="eastAsia"/>
                <w:sz w:val="18"/>
                <w:szCs w:val="18"/>
              </w:rPr>
              <w:t>(B12)</w:t>
            </w:r>
            <w:r>
              <w:rPr>
                <w:rFonts w:ascii="Arial" w:eastAsia="黑体" w:hAnsi="Arial" w:cs="Arial" w:hint="eastAsia"/>
                <w:sz w:val="18"/>
                <w:szCs w:val="18"/>
              </w:rPr>
              <w:t>、工业用地</w:t>
            </w:r>
            <w:r>
              <w:rPr>
                <w:rFonts w:ascii="Arial" w:eastAsia="黑体" w:hAnsi="Arial" w:cs="Arial" w:hint="eastAsia"/>
                <w:sz w:val="18"/>
                <w:szCs w:val="18"/>
              </w:rPr>
              <w:t>(M)</w:t>
            </w:r>
            <w:r>
              <w:rPr>
                <w:rFonts w:ascii="Arial" w:eastAsia="黑体" w:hAnsi="Arial" w:cs="Arial" w:hint="eastAsia"/>
                <w:sz w:val="18"/>
                <w:szCs w:val="18"/>
              </w:rPr>
              <w:t>、物流仓储用地</w:t>
            </w:r>
            <w:r>
              <w:rPr>
                <w:rFonts w:ascii="Arial" w:eastAsia="黑体" w:hAnsi="Arial" w:cs="Arial" w:hint="eastAsia"/>
                <w:sz w:val="18"/>
                <w:szCs w:val="18"/>
              </w:rPr>
              <w:t>(W)</w:t>
            </w:r>
          </w:p>
        </w:tc>
      </w:tr>
    </w:tbl>
    <w:p w:rsidR="00DA44CC" w:rsidRDefault="00C53A1B" w:rsidP="00D43F73">
      <w:pPr>
        <w:adjustRightInd w:val="0"/>
        <w:snapToGrid w:val="0"/>
        <w:spacing w:line="288" w:lineRule="auto"/>
        <w:rPr>
          <w:rFonts w:ascii="黑体" w:eastAsia="黑体" w:hAnsi="黑体"/>
          <w:bCs/>
          <w:szCs w:val="22"/>
        </w:rPr>
      </w:pPr>
      <w:r>
        <w:rPr>
          <w:rFonts w:ascii="黑体" w:eastAsia="黑体" w:hAnsi="黑体" w:hint="eastAsia"/>
          <w:sz w:val="18"/>
          <w:szCs w:val="18"/>
        </w:rPr>
        <w:t>注：居住用地兼容商业服务业设施用地(B)的，应结合方案严格控制沿街底层商业建筑，临城市快速路、主干路的新建、扩建住宅建筑底层不得配建商业服务业用房，原则上采用商业内街或独立设置的形式，并按照相关规定单独配置机动车停车场位。</w:t>
      </w:r>
    </w:p>
    <w:p w:rsidR="00DA44CC" w:rsidRDefault="00DA44CC">
      <w:pPr>
        <w:adjustRightInd w:val="0"/>
        <w:ind w:left="703"/>
        <w:jc w:val="center"/>
        <w:rPr>
          <w:rFonts w:ascii="黑体" w:eastAsia="黑体" w:hAnsi="黑体"/>
          <w:bCs/>
          <w:szCs w:val="22"/>
        </w:rPr>
        <w:sectPr w:rsidR="00DA44CC">
          <w:pgSz w:w="11906" w:h="16838"/>
          <w:pgMar w:top="2155" w:right="1474" w:bottom="2041" w:left="1588" w:header="851" w:footer="1587" w:gutter="0"/>
          <w:cols w:space="0"/>
          <w:docGrid w:type="linesAndChars" w:linePitch="312"/>
        </w:sectPr>
      </w:pPr>
    </w:p>
    <w:p w:rsidR="00DA44CC" w:rsidRDefault="00C53A1B">
      <w:pPr>
        <w:adjustRightInd w:val="0"/>
        <w:ind w:left="703"/>
        <w:jc w:val="center"/>
        <w:rPr>
          <w:rFonts w:ascii="黑体" w:eastAsia="黑体" w:hAnsi="黑体"/>
          <w:bCs/>
          <w:szCs w:val="22"/>
        </w:rPr>
      </w:pPr>
      <w:r>
        <w:rPr>
          <w:rFonts w:ascii="黑体" w:eastAsia="黑体" w:hAnsi="黑体"/>
          <w:bCs/>
          <w:szCs w:val="22"/>
        </w:rPr>
        <w:lastRenderedPageBreak/>
        <w:t>表</w:t>
      </w:r>
      <w:r>
        <w:rPr>
          <w:rFonts w:ascii="黑体" w:eastAsia="黑体" w:hAnsi="黑体" w:hint="eastAsia"/>
          <w:bCs/>
          <w:szCs w:val="22"/>
        </w:rPr>
        <w:t>2-4</w:t>
      </w:r>
      <w:r>
        <w:rPr>
          <w:rFonts w:ascii="黑体" w:eastAsia="黑体" w:hAnsi="黑体"/>
          <w:bCs/>
          <w:szCs w:val="22"/>
        </w:rPr>
        <w:t>公共管理与公共服务设施用地、商业服务业设施用地兼容性规定表</w:t>
      </w:r>
    </w:p>
    <w:tbl>
      <w:tblPr>
        <w:tblW w:w="90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6"/>
        <w:gridCol w:w="430"/>
        <w:gridCol w:w="1537"/>
        <w:gridCol w:w="1382"/>
        <w:gridCol w:w="1206"/>
        <w:gridCol w:w="1374"/>
        <w:gridCol w:w="1374"/>
        <w:gridCol w:w="1371"/>
      </w:tblGrid>
      <w:tr w:rsidR="00DA44CC">
        <w:trPr>
          <w:tblHeader/>
          <w:jc w:val="center"/>
        </w:trPr>
        <w:tc>
          <w:tcPr>
            <w:tcW w:w="786" w:type="dxa"/>
            <w:gridSpan w:val="2"/>
            <w:tcBorders>
              <w:tl2br w:val="single" w:sz="4" w:space="0" w:color="auto"/>
            </w:tcBorders>
            <w:vAlign w:val="center"/>
          </w:tcPr>
          <w:p w:rsidR="00DA44CC" w:rsidRDefault="00C53A1B">
            <w:pPr>
              <w:adjustRightInd w:val="0"/>
              <w:snapToGrid w:val="0"/>
              <w:spacing w:line="288" w:lineRule="auto"/>
              <w:ind w:firstLineChars="200" w:firstLine="360"/>
              <w:rPr>
                <w:rFonts w:ascii="黑体" w:eastAsia="黑体" w:hAnsi="黑体"/>
                <w:sz w:val="18"/>
                <w:szCs w:val="18"/>
              </w:rPr>
            </w:pPr>
            <w:bookmarkStart w:id="8" w:name="_Hlk42851730"/>
            <w:r>
              <w:rPr>
                <w:rFonts w:ascii="黑体" w:eastAsia="黑体" w:hAnsi="黑体" w:hint="eastAsia"/>
                <w:sz w:val="18"/>
                <w:szCs w:val="18"/>
              </w:rPr>
              <w:t>用地</w:t>
            </w:r>
          </w:p>
          <w:p w:rsidR="00DA44CC" w:rsidRDefault="00C53A1B">
            <w:pPr>
              <w:adjustRightInd w:val="0"/>
              <w:snapToGrid w:val="0"/>
              <w:spacing w:line="288" w:lineRule="auto"/>
              <w:ind w:firstLineChars="200" w:firstLine="360"/>
              <w:rPr>
                <w:rFonts w:ascii="黑体" w:eastAsia="黑体" w:hAnsi="黑体"/>
                <w:sz w:val="18"/>
                <w:szCs w:val="18"/>
              </w:rPr>
            </w:pPr>
            <w:r>
              <w:rPr>
                <w:rFonts w:ascii="黑体" w:eastAsia="黑体" w:hAnsi="黑体" w:hint="eastAsia"/>
                <w:sz w:val="18"/>
                <w:szCs w:val="18"/>
              </w:rPr>
              <w:t>性质</w:t>
            </w:r>
          </w:p>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兼容</w:t>
            </w:r>
          </w:p>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类型</w:t>
            </w:r>
          </w:p>
        </w:tc>
        <w:tc>
          <w:tcPr>
            <w:tcW w:w="1537"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行政办公用地(A1)</w:t>
            </w:r>
          </w:p>
        </w:tc>
        <w:tc>
          <w:tcPr>
            <w:tcW w:w="1382"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高等院校用地(A31)，中等专业学校用地(A32)</w:t>
            </w:r>
          </w:p>
        </w:tc>
        <w:tc>
          <w:tcPr>
            <w:tcW w:w="1206"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中小学用地（A33），特殊教育用地(A34)</w:t>
            </w:r>
          </w:p>
        </w:tc>
        <w:tc>
          <w:tcPr>
            <w:tcW w:w="1374"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十五分钟生活圈居住区配套设施用地(AR)</w:t>
            </w:r>
          </w:p>
        </w:tc>
        <w:tc>
          <w:tcPr>
            <w:tcW w:w="1374"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零售商业用地(B11)，餐饮用地(B13)，旅馆用地(B14)，商务用地(B2)，娱乐用地(B31)，公用设施营业网点用地(B4)，其他服务设施用地(B9)</w:t>
            </w:r>
          </w:p>
        </w:tc>
        <w:tc>
          <w:tcPr>
            <w:tcW w:w="1371"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批发市场用地(B12)</w:t>
            </w:r>
          </w:p>
        </w:tc>
      </w:tr>
      <w:tr w:rsidR="00DA44CC">
        <w:trPr>
          <w:jc w:val="center"/>
        </w:trPr>
        <w:tc>
          <w:tcPr>
            <w:tcW w:w="356" w:type="dxa"/>
            <w:vMerge w:val="restart"/>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部</w:t>
            </w:r>
          </w:p>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分</w:t>
            </w:r>
          </w:p>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兼</w:t>
            </w:r>
          </w:p>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容</w:t>
            </w:r>
          </w:p>
        </w:tc>
        <w:tc>
          <w:tcPr>
            <w:tcW w:w="430"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允许</w:t>
            </w:r>
          </w:p>
        </w:tc>
        <w:tc>
          <w:tcPr>
            <w:tcW w:w="1537"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绿地与广场用地(G)、十五分钟生活圈居住区配套设施用地(AR)</w:t>
            </w:r>
          </w:p>
        </w:tc>
        <w:tc>
          <w:tcPr>
            <w:tcW w:w="1382"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相互兼容，绿地与广场用地(G)</w:t>
            </w:r>
          </w:p>
        </w:tc>
        <w:tc>
          <w:tcPr>
            <w:tcW w:w="1206"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相互兼容，绿地与广场用地(G)</w:t>
            </w:r>
          </w:p>
        </w:tc>
        <w:tc>
          <w:tcPr>
            <w:tcW w:w="1374"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绿地与广场用地(G)</w:t>
            </w:r>
          </w:p>
        </w:tc>
        <w:tc>
          <w:tcPr>
            <w:tcW w:w="1374"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行政办公用地(A1)，文化设施用地(A2)，体育用地(A4)，十五分钟生活圈居住区配套设施用地(AR)</w:t>
            </w:r>
          </w:p>
        </w:tc>
        <w:tc>
          <w:tcPr>
            <w:tcW w:w="1371"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零售商业用地(B11)，餐饮用地(B13)，旅馆用地(B14)</w:t>
            </w:r>
          </w:p>
        </w:tc>
      </w:tr>
      <w:tr w:rsidR="00DA44CC">
        <w:trPr>
          <w:trHeight w:val="3621"/>
          <w:jc w:val="center"/>
        </w:trPr>
        <w:tc>
          <w:tcPr>
            <w:tcW w:w="356" w:type="dxa"/>
            <w:vMerge/>
            <w:vAlign w:val="center"/>
          </w:tcPr>
          <w:p w:rsidR="00DA44CC" w:rsidRDefault="00DA44CC">
            <w:pPr>
              <w:adjustRightInd w:val="0"/>
              <w:snapToGrid w:val="0"/>
              <w:spacing w:line="288" w:lineRule="auto"/>
              <w:rPr>
                <w:rFonts w:ascii="黑体" w:eastAsia="黑体" w:hAnsi="黑体"/>
                <w:sz w:val="18"/>
                <w:szCs w:val="18"/>
              </w:rPr>
            </w:pPr>
          </w:p>
        </w:tc>
        <w:tc>
          <w:tcPr>
            <w:tcW w:w="430"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有条件允许</w:t>
            </w:r>
          </w:p>
        </w:tc>
        <w:tc>
          <w:tcPr>
            <w:tcW w:w="1537"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文化设施用地(A2)，科研用地(A35)，体育场馆用地(A41)，旅馆用地(B14)，商务用地(B2)，其他公用设施营业网点用地(B49)，道路与交通设施用地(S)，公用设施用地(U)</w:t>
            </w:r>
          </w:p>
        </w:tc>
        <w:tc>
          <w:tcPr>
            <w:tcW w:w="1382"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文化设施用地(A2)，体育用地(A4)，医疗卫生用地(A5)，社会福利用地(A6)，其他公用设施营业网点用地(B49)，道路与交通设施用地(S)，公用设施用地(U)</w:t>
            </w:r>
          </w:p>
        </w:tc>
        <w:tc>
          <w:tcPr>
            <w:tcW w:w="1206"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文化设施用地(A2)，体育用地(A4)，其他公用设施营业网点用地(B49)，城市道路用地（S1），城市轨道交通用地（S2），社会停车场用地(S42)</w:t>
            </w:r>
          </w:p>
        </w:tc>
        <w:tc>
          <w:tcPr>
            <w:tcW w:w="1374"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零售商业（B1），商务用地(B2)，其他公用设施营业网点用地(B49)，其他服务设施用地(B9)，交通场地用地（S4）</w:t>
            </w:r>
          </w:p>
        </w:tc>
        <w:tc>
          <w:tcPr>
            <w:tcW w:w="1374"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二类居住用地(R2)，教育科研用地(A3)，医疗卫生用地(A5)，社会福利用地(A6)，道路与交通设施用地(S)，公用设施用地(U)，一类工业用地（M1），新型产业用地（M0）， 一类物流仓储用地(W1)</w:t>
            </w:r>
          </w:p>
        </w:tc>
        <w:tc>
          <w:tcPr>
            <w:tcW w:w="1371"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行政办公用地(A1)，商务用地(B2)，娱乐康体用地(B3)，其他公用设施营业网点用地(B49)，一类工业用地(M1)，一类物流仓储用地(W1)，道路与交通设施用地(S)，公用设施用地(U)</w:t>
            </w:r>
          </w:p>
        </w:tc>
      </w:tr>
      <w:tr w:rsidR="00DA44CC">
        <w:trPr>
          <w:trHeight w:val="775"/>
          <w:jc w:val="center"/>
        </w:trPr>
        <w:tc>
          <w:tcPr>
            <w:tcW w:w="786" w:type="dxa"/>
            <w:gridSpan w:val="2"/>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完全</w:t>
            </w:r>
          </w:p>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兼容</w:t>
            </w:r>
          </w:p>
        </w:tc>
        <w:tc>
          <w:tcPr>
            <w:tcW w:w="1537"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w:t>
            </w:r>
          </w:p>
        </w:tc>
        <w:tc>
          <w:tcPr>
            <w:tcW w:w="1382"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w:t>
            </w:r>
          </w:p>
        </w:tc>
        <w:tc>
          <w:tcPr>
            <w:tcW w:w="1206"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w:t>
            </w:r>
          </w:p>
        </w:tc>
        <w:tc>
          <w:tcPr>
            <w:tcW w:w="1374"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w:t>
            </w:r>
          </w:p>
        </w:tc>
        <w:tc>
          <w:tcPr>
            <w:tcW w:w="1374"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相互兼容，绿地与广场用地(G)</w:t>
            </w:r>
          </w:p>
        </w:tc>
        <w:tc>
          <w:tcPr>
            <w:tcW w:w="1371"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绿地与广场用地(G)</w:t>
            </w:r>
          </w:p>
        </w:tc>
      </w:tr>
      <w:tr w:rsidR="00DA44CC">
        <w:trPr>
          <w:jc w:val="center"/>
        </w:trPr>
        <w:tc>
          <w:tcPr>
            <w:tcW w:w="786" w:type="dxa"/>
            <w:gridSpan w:val="2"/>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禁止</w:t>
            </w:r>
          </w:p>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兼容</w:t>
            </w:r>
          </w:p>
        </w:tc>
        <w:tc>
          <w:tcPr>
            <w:tcW w:w="1537"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零售商业用地(B11)，批发市场用地(B12)，餐饮用地(B13)，娱乐康体用地(B3)，工业用地(M)，物流仓储用地(W)</w:t>
            </w:r>
          </w:p>
        </w:tc>
        <w:tc>
          <w:tcPr>
            <w:tcW w:w="1382"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零售商业用地(B11)，批发市场用地(B12)，餐饮用地(B13)，娱乐康体用地(B3)，工业用地(M)，物流仓储用地(W)</w:t>
            </w:r>
          </w:p>
        </w:tc>
        <w:tc>
          <w:tcPr>
            <w:tcW w:w="1206"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商业服务业设施用地(B)，工业用地(M)，物流仓储用地(W)</w:t>
            </w:r>
          </w:p>
        </w:tc>
        <w:tc>
          <w:tcPr>
            <w:tcW w:w="1374"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批发市场（B12），加油加气站用地（B41），工业用地(M)，物流仓储用地(W)</w:t>
            </w:r>
          </w:p>
        </w:tc>
        <w:tc>
          <w:tcPr>
            <w:tcW w:w="1374"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批发市场用地(B12)，工业用地(M)，物流仓储用地(W)</w:t>
            </w:r>
          </w:p>
        </w:tc>
        <w:tc>
          <w:tcPr>
            <w:tcW w:w="1371" w:type="dxa"/>
            <w:vAlign w:val="center"/>
          </w:tcPr>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二类三类工业用地(M2、M3)，二类三类物流仓储用地(W2、W3)</w:t>
            </w:r>
          </w:p>
        </w:tc>
      </w:tr>
      <w:bookmarkEnd w:id="8"/>
    </w:tbl>
    <w:p w:rsidR="00DA44CC" w:rsidRDefault="00DA44CC">
      <w:pPr>
        <w:adjustRightInd w:val="0"/>
        <w:snapToGrid w:val="0"/>
        <w:spacing w:line="288" w:lineRule="auto"/>
        <w:rPr>
          <w:rFonts w:ascii="黑体" w:eastAsia="黑体" w:hAnsi="黑体"/>
          <w:sz w:val="18"/>
          <w:szCs w:val="18"/>
        </w:rPr>
      </w:pPr>
    </w:p>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注：1、批发市场用地(B12)兼容公共管理与公共服务设施用地(A)、商业服务业设施用地(B)、工业用地(M)和仓储用地(W)的各项用地总和不得超过地块用地总规模的20%；</w:t>
      </w:r>
    </w:p>
    <w:p w:rsidR="00DA44CC" w:rsidRDefault="00C53A1B">
      <w:pPr>
        <w:adjustRightInd w:val="0"/>
        <w:snapToGrid w:val="0"/>
        <w:spacing w:line="288" w:lineRule="auto"/>
        <w:ind w:firstLineChars="200" w:firstLine="360"/>
        <w:rPr>
          <w:rFonts w:ascii="黑体" w:eastAsia="黑体" w:hAnsi="黑体"/>
          <w:sz w:val="18"/>
          <w:szCs w:val="18"/>
        </w:rPr>
      </w:pPr>
      <w:r>
        <w:rPr>
          <w:rFonts w:ascii="黑体" w:eastAsia="黑体" w:hAnsi="黑体" w:hint="eastAsia"/>
          <w:sz w:val="18"/>
          <w:szCs w:val="18"/>
        </w:rPr>
        <w:t>2、十五分钟生活圈居住区配套设施用地(AR)与其他用地功能兼容，必须保障建筑规模不得减少；生活圈体育用地（AR4）保障用地面积不减少。</w:t>
      </w:r>
    </w:p>
    <w:p w:rsidR="00DA44CC" w:rsidRDefault="00C53A1B">
      <w:pPr>
        <w:adjustRightInd w:val="0"/>
        <w:ind w:left="703"/>
        <w:jc w:val="center"/>
        <w:rPr>
          <w:rFonts w:ascii="黑体" w:eastAsia="黑体" w:hAnsi="黑体"/>
          <w:bCs/>
          <w:szCs w:val="22"/>
        </w:rPr>
      </w:pPr>
      <w:r>
        <w:rPr>
          <w:rFonts w:ascii="黑体" w:eastAsia="黑体" w:hAnsi="黑体"/>
          <w:bCs/>
          <w:szCs w:val="22"/>
        </w:rPr>
        <w:lastRenderedPageBreak/>
        <w:t>表</w:t>
      </w:r>
      <w:r>
        <w:rPr>
          <w:rFonts w:ascii="黑体" w:eastAsia="黑体" w:hAnsi="黑体" w:hint="eastAsia"/>
          <w:bCs/>
          <w:szCs w:val="22"/>
        </w:rPr>
        <w:t>2-5</w:t>
      </w:r>
      <w:r>
        <w:rPr>
          <w:rFonts w:ascii="黑体" w:eastAsia="黑体" w:hAnsi="黑体"/>
          <w:bCs/>
          <w:szCs w:val="22"/>
        </w:rPr>
        <w:t>工业用地、物流仓储用地兼容性规定表</w:t>
      </w:r>
    </w:p>
    <w:tbl>
      <w:tblPr>
        <w:tblW w:w="90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8"/>
        <w:gridCol w:w="511"/>
        <w:gridCol w:w="1629"/>
        <w:gridCol w:w="1629"/>
        <w:gridCol w:w="1629"/>
        <w:gridCol w:w="1629"/>
        <w:gridCol w:w="1625"/>
      </w:tblGrid>
      <w:tr w:rsidR="00DA44CC">
        <w:trPr>
          <w:trHeight w:val="1281"/>
        </w:trPr>
        <w:tc>
          <w:tcPr>
            <w:tcW w:w="889" w:type="dxa"/>
            <w:gridSpan w:val="2"/>
            <w:tcBorders>
              <w:tl2br w:val="single" w:sz="4" w:space="0" w:color="auto"/>
            </w:tcBorders>
          </w:tcPr>
          <w:p w:rsidR="00DA44CC" w:rsidRDefault="00C53A1B">
            <w:pPr>
              <w:adjustRightInd w:val="0"/>
              <w:snapToGrid w:val="0"/>
              <w:spacing w:before="240"/>
              <w:ind w:leftChars="160" w:left="336"/>
              <w:jc w:val="center"/>
              <w:rPr>
                <w:rFonts w:ascii="Arial" w:eastAsia="黑体" w:hAnsi="Arial" w:cs="Arial"/>
                <w:sz w:val="18"/>
                <w:szCs w:val="18"/>
              </w:rPr>
            </w:pPr>
            <w:r>
              <w:rPr>
                <w:rFonts w:ascii="Arial" w:eastAsia="黑体" w:hAnsi="Arial" w:cs="Arial" w:hint="eastAsia"/>
                <w:sz w:val="18"/>
                <w:szCs w:val="18"/>
              </w:rPr>
              <w:t>用地性质</w:t>
            </w:r>
          </w:p>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兼容类型</w:t>
            </w:r>
          </w:p>
        </w:tc>
        <w:tc>
          <w:tcPr>
            <w:tcW w:w="1629" w:type="dxa"/>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一类工业用地</w:t>
            </w:r>
            <w:r>
              <w:rPr>
                <w:rFonts w:ascii="Arial" w:eastAsia="黑体" w:hAnsi="Arial" w:cs="Arial" w:hint="eastAsia"/>
                <w:sz w:val="18"/>
                <w:szCs w:val="18"/>
              </w:rPr>
              <w:t>(M1)</w:t>
            </w:r>
          </w:p>
        </w:tc>
        <w:tc>
          <w:tcPr>
            <w:tcW w:w="1629" w:type="dxa"/>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二类工业用地</w:t>
            </w:r>
            <w:r>
              <w:rPr>
                <w:rFonts w:ascii="Arial" w:eastAsia="黑体" w:hAnsi="Arial" w:cs="Arial" w:hint="eastAsia"/>
                <w:sz w:val="18"/>
                <w:szCs w:val="18"/>
              </w:rPr>
              <w:t>(M2)</w:t>
            </w:r>
          </w:p>
        </w:tc>
        <w:tc>
          <w:tcPr>
            <w:tcW w:w="1629" w:type="dxa"/>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三类工业用地</w:t>
            </w:r>
            <w:r>
              <w:rPr>
                <w:rFonts w:ascii="Arial" w:eastAsia="黑体" w:hAnsi="Arial" w:cs="Arial" w:hint="eastAsia"/>
                <w:sz w:val="18"/>
                <w:szCs w:val="18"/>
              </w:rPr>
              <w:t>(M3)</w:t>
            </w:r>
          </w:p>
        </w:tc>
        <w:tc>
          <w:tcPr>
            <w:tcW w:w="1629" w:type="dxa"/>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一类物流仓储用地</w:t>
            </w:r>
            <w:r>
              <w:rPr>
                <w:rFonts w:ascii="Arial" w:eastAsia="黑体" w:hAnsi="Arial" w:cs="Arial" w:hint="eastAsia"/>
                <w:sz w:val="18"/>
                <w:szCs w:val="18"/>
              </w:rPr>
              <w:t>(W1)</w:t>
            </w:r>
            <w:r>
              <w:rPr>
                <w:rFonts w:ascii="Arial" w:eastAsia="黑体" w:hAnsi="Arial" w:cs="Arial" w:hint="eastAsia"/>
                <w:sz w:val="18"/>
                <w:szCs w:val="18"/>
              </w:rPr>
              <w:t>，二类物流仓储用地</w:t>
            </w:r>
            <w:r>
              <w:rPr>
                <w:rFonts w:ascii="Arial" w:eastAsia="黑体" w:hAnsi="Arial" w:cs="Arial" w:hint="eastAsia"/>
                <w:sz w:val="18"/>
                <w:szCs w:val="18"/>
              </w:rPr>
              <w:t>(W2)</w:t>
            </w:r>
          </w:p>
        </w:tc>
        <w:tc>
          <w:tcPr>
            <w:tcW w:w="1625" w:type="dxa"/>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新型产业用地</w:t>
            </w:r>
          </w:p>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w:t>
            </w:r>
            <w:r>
              <w:rPr>
                <w:rFonts w:ascii="Arial" w:eastAsia="黑体" w:hAnsi="Arial" w:cs="Arial" w:hint="eastAsia"/>
                <w:sz w:val="18"/>
                <w:szCs w:val="18"/>
              </w:rPr>
              <w:t>M0</w:t>
            </w:r>
            <w:r>
              <w:rPr>
                <w:rFonts w:ascii="Arial" w:eastAsia="黑体" w:hAnsi="Arial" w:cs="Arial" w:hint="eastAsia"/>
                <w:sz w:val="18"/>
                <w:szCs w:val="18"/>
              </w:rPr>
              <w:t>）</w:t>
            </w:r>
          </w:p>
        </w:tc>
      </w:tr>
      <w:tr w:rsidR="00DA44CC">
        <w:tc>
          <w:tcPr>
            <w:tcW w:w="378" w:type="dxa"/>
            <w:vMerge w:val="restart"/>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部</w:t>
            </w:r>
          </w:p>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分</w:t>
            </w:r>
          </w:p>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兼</w:t>
            </w:r>
          </w:p>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容</w:t>
            </w:r>
          </w:p>
        </w:tc>
        <w:tc>
          <w:tcPr>
            <w:tcW w:w="511" w:type="dxa"/>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允许</w:t>
            </w:r>
          </w:p>
        </w:tc>
        <w:tc>
          <w:tcPr>
            <w:tcW w:w="1629" w:type="dxa"/>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一类物流仓储用地</w:t>
            </w:r>
            <w:r>
              <w:rPr>
                <w:rFonts w:ascii="Arial" w:eastAsia="黑体" w:hAnsi="Arial" w:cs="Arial" w:hint="eastAsia"/>
                <w:sz w:val="18"/>
                <w:szCs w:val="18"/>
              </w:rPr>
              <w:t>(W1)</w:t>
            </w:r>
          </w:p>
        </w:tc>
        <w:tc>
          <w:tcPr>
            <w:tcW w:w="1629" w:type="dxa"/>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一类二类物流仓储用地</w:t>
            </w:r>
            <w:r>
              <w:rPr>
                <w:rFonts w:ascii="Arial" w:eastAsia="黑体" w:hAnsi="Arial" w:cs="Arial" w:hint="eastAsia"/>
                <w:sz w:val="18"/>
                <w:szCs w:val="18"/>
              </w:rPr>
              <w:t>(W1</w:t>
            </w:r>
            <w:r>
              <w:rPr>
                <w:rFonts w:ascii="Arial" w:eastAsia="黑体" w:hAnsi="Arial" w:cs="Arial" w:hint="eastAsia"/>
                <w:sz w:val="18"/>
                <w:szCs w:val="18"/>
              </w:rPr>
              <w:t>、</w:t>
            </w:r>
            <w:r>
              <w:rPr>
                <w:rFonts w:ascii="Arial" w:eastAsia="黑体" w:hAnsi="Arial" w:cs="Arial" w:hint="eastAsia"/>
                <w:sz w:val="18"/>
                <w:szCs w:val="18"/>
              </w:rPr>
              <w:t>W2)</w:t>
            </w:r>
          </w:p>
        </w:tc>
        <w:tc>
          <w:tcPr>
            <w:tcW w:w="1629" w:type="dxa"/>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一类二类物流仓储用地</w:t>
            </w:r>
            <w:r>
              <w:rPr>
                <w:rFonts w:ascii="Arial" w:eastAsia="黑体" w:hAnsi="Arial" w:cs="Arial" w:hint="eastAsia"/>
                <w:sz w:val="18"/>
                <w:szCs w:val="18"/>
              </w:rPr>
              <w:t>(W1</w:t>
            </w:r>
            <w:r>
              <w:rPr>
                <w:rFonts w:ascii="Arial" w:eastAsia="黑体" w:hAnsi="Arial" w:cs="Arial" w:hint="eastAsia"/>
                <w:sz w:val="18"/>
                <w:szCs w:val="18"/>
              </w:rPr>
              <w:t>、</w:t>
            </w:r>
            <w:r>
              <w:rPr>
                <w:rFonts w:ascii="Arial" w:eastAsia="黑体" w:hAnsi="Arial" w:cs="Arial" w:hint="eastAsia"/>
                <w:sz w:val="18"/>
                <w:szCs w:val="18"/>
              </w:rPr>
              <w:t>W2)</w:t>
            </w:r>
          </w:p>
        </w:tc>
        <w:tc>
          <w:tcPr>
            <w:tcW w:w="1629" w:type="dxa"/>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w:t>
            </w:r>
          </w:p>
        </w:tc>
        <w:tc>
          <w:tcPr>
            <w:tcW w:w="1625" w:type="dxa"/>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w:t>
            </w:r>
          </w:p>
        </w:tc>
      </w:tr>
      <w:tr w:rsidR="00DA44CC">
        <w:tc>
          <w:tcPr>
            <w:tcW w:w="378" w:type="dxa"/>
            <w:vMerge/>
            <w:vAlign w:val="center"/>
          </w:tcPr>
          <w:p w:rsidR="00DA44CC" w:rsidRDefault="00DA44CC">
            <w:pPr>
              <w:adjustRightInd w:val="0"/>
              <w:snapToGrid w:val="0"/>
              <w:spacing w:before="240"/>
              <w:rPr>
                <w:rFonts w:ascii="Arial" w:eastAsia="黑体" w:hAnsi="Arial" w:cs="Arial"/>
                <w:sz w:val="18"/>
                <w:szCs w:val="18"/>
              </w:rPr>
            </w:pPr>
          </w:p>
        </w:tc>
        <w:tc>
          <w:tcPr>
            <w:tcW w:w="511" w:type="dxa"/>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有条件允许</w:t>
            </w:r>
          </w:p>
        </w:tc>
        <w:tc>
          <w:tcPr>
            <w:tcW w:w="1629" w:type="dxa"/>
            <w:vAlign w:val="center"/>
          </w:tcPr>
          <w:p w:rsidR="00DA44CC" w:rsidRDefault="00C53A1B">
            <w:pPr>
              <w:adjustRightInd w:val="0"/>
              <w:snapToGrid w:val="0"/>
              <w:spacing w:before="240"/>
              <w:jc w:val="left"/>
              <w:rPr>
                <w:rFonts w:ascii="Arial" w:eastAsia="黑体" w:hAnsi="Arial" w:cs="Arial"/>
                <w:sz w:val="18"/>
                <w:szCs w:val="18"/>
              </w:rPr>
            </w:pPr>
            <w:r>
              <w:rPr>
                <w:rFonts w:ascii="Arial" w:eastAsia="黑体" w:hAnsi="Arial" w:cs="Arial" w:hint="eastAsia"/>
                <w:sz w:val="18"/>
                <w:szCs w:val="18"/>
              </w:rPr>
              <w:t>行政办公用地</w:t>
            </w:r>
            <w:r>
              <w:rPr>
                <w:rFonts w:ascii="Arial" w:eastAsia="黑体" w:hAnsi="Arial" w:cs="Arial" w:hint="eastAsia"/>
                <w:sz w:val="18"/>
                <w:szCs w:val="18"/>
              </w:rPr>
              <w:t>(A1)</w:t>
            </w:r>
            <w:r>
              <w:rPr>
                <w:rFonts w:ascii="Arial" w:eastAsia="黑体" w:hAnsi="Arial" w:cs="Arial" w:hint="eastAsia"/>
                <w:sz w:val="18"/>
                <w:szCs w:val="18"/>
              </w:rPr>
              <w:t>，道路与交通设施用地</w:t>
            </w:r>
            <w:r>
              <w:rPr>
                <w:rFonts w:ascii="Arial" w:eastAsia="黑体" w:hAnsi="Arial" w:cs="Arial" w:hint="eastAsia"/>
                <w:sz w:val="18"/>
                <w:szCs w:val="18"/>
              </w:rPr>
              <w:t>(S)</w:t>
            </w:r>
            <w:r>
              <w:rPr>
                <w:rFonts w:ascii="Arial" w:eastAsia="黑体" w:hAnsi="Arial" w:cs="Arial" w:hint="eastAsia"/>
                <w:sz w:val="18"/>
                <w:szCs w:val="18"/>
              </w:rPr>
              <w:t>，公用设施用地</w:t>
            </w:r>
            <w:r>
              <w:rPr>
                <w:rFonts w:ascii="Arial" w:eastAsia="黑体" w:hAnsi="Arial" w:cs="Arial" w:hint="eastAsia"/>
                <w:sz w:val="18"/>
                <w:szCs w:val="18"/>
              </w:rPr>
              <w:t>(U)</w:t>
            </w:r>
            <w:r>
              <w:rPr>
                <w:rFonts w:ascii="Arial" w:eastAsia="黑体" w:hAnsi="Arial" w:cs="Arial" w:hint="eastAsia"/>
                <w:sz w:val="18"/>
                <w:szCs w:val="18"/>
              </w:rPr>
              <w:t>，绿地与广场用地</w:t>
            </w:r>
            <w:r>
              <w:rPr>
                <w:rFonts w:ascii="Arial" w:eastAsia="黑体" w:hAnsi="Arial" w:cs="Arial" w:hint="eastAsia"/>
                <w:sz w:val="18"/>
                <w:szCs w:val="18"/>
              </w:rPr>
              <w:t>(G)</w:t>
            </w:r>
            <w:r>
              <w:rPr>
                <w:rFonts w:ascii="Arial" w:eastAsia="黑体" w:hAnsi="Arial" w:cs="Arial" w:hint="eastAsia"/>
                <w:sz w:val="18"/>
                <w:szCs w:val="18"/>
              </w:rPr>
              <w:t>，商业用地</w:t>
            </w:r>
            <w:r>
              <w:rPr>
                <w:rFonts w:ascii="Arial" w:eastAsia="黑体" w:hAnsi="Arial" w:cs="Arial" w:hint="eastAsia"/>
                <w:sz w:val="18"/>
                <w:szCs w:val="18"/>
              </w:rPr>
              <w:t>(B1)</w:t>
            </w:r>
            <w:r>
              <w:rPr>
                <w:rFonts w:ascii="Arial" w:eastAsia="黑体" w:hAnsi="Arial" w:cs="Arial" w:hint="eastAsia"/>
                <w:sz w:val="18"/>
                <w:szCs w:val="18"/>
              </w:rPr>
              <w:t>，商务用地</w:t>
            </w:r>
            <w:r>
              <w:rPr>
                <w:rFonts w:ascii="Arial" w:eastAsia="黑体" w:hAnsi="Arial" w:cs="Arial" w:hint="eastAsia"/>
                <w:sz w:val="18"/>
                <w:szCs w:val="18"/>
              </w:rPr>
              <w:t>(B2)</w:t>
            </w:r>
            <w:r>
              <w:rPr>
                <w:rFonts w:ascii="Arial" w:eastAsia="黑体" w:hAnsi="Arial" w:cs="Arial" w:hint="eastAsia"/>
                <w:sz w:val="18"/>
                <w:szCs w:val="18"/>
              </w:rPr>
              <w:t>，娱乐康体用地</w:t>
            </w:r>
            <w:r>
              <w:rPr>
                <w:rFonts w:ascii="Arial" w:eastAsia="黑体" w:hAnsi="Arial" w:cs="Arial" w:hint="eastAsia"/>
                <w:sz w:val="18"/>
                <w:szCs w:val="18"/>
              </w:rPr>
              <w:t>(B3)</w:t>
            </w:r>
          </w:p>
        </w:tc>
        <w:tc>
          <w:tcPr>
            <w:tcW w:w="1629" w:type="dxa"/>
            <w:vAlign w:val="center"/>
          </w:tcPr>
          <w:p w:rsidR="00DA44CC" w:rsidRDefault="00C53A1B">
            <w:pPr>
              <w:adjustRightInd w:val="0"/>
              <w:snapToGrid w:val="0"/>
              <w:spacing w:before="240"/>
              <w:jc w:val="left"/>
              <w:rPr>
                <w:rFonts w:ascii="Arial" w:eastAsia="黑体" w:hAnsi="Arial" w:cs="Arial"/>
                <w:sz w:val="18"/>
                <w:szCs w:val="18"/>
              </w:rPr>
            </w:pPr>
            <w:r>
              <w:rPr>
                <w:rFonts w:ascii="Arial" w:eastAsia="黑体" w:hAnsi="Arial" w:cs="Arial" w:hint="eastAsia"/>
                <w:sz w:val="18"/>
                <w:szCs w:val="18"/>
              </w:rPr>
              <w:t>行政办公用地</w:t>
            </w:r>
            <w:r>
              <w:rPr>
                <w:rFonts w:ascii="Arial" w:eastAsia="黑体" w:hAnsi="Arial" w:cs="Arial" w:hint="eastAsia"/>
                <w:sz w:val="18"/>
                <w:szCs w:val="18"/>
              </w:rPr>
              <w:t>(A1)</w:t>
            </w:r>
            <w:r>
              <w:rPr>
                <w:rFonts w:ascii="Arial" w:eastAsia="黑体" w:hAnsi="Arial" w:cs="Arial" w:hint="eastAsia"/>
                <w:sz w:val="18"/>
                <w:szCs w:val="18"/>
              </w:rPr>
              <w:t>，道路与交通设施用地</w:t>
            </w:r>
            <w:r>
              <w:rPr>
                <w:rFonts w:ascii="Arial" w:eastAsia="黑体" w:hAnsi="Arial" w:cs="Arial" w:hint="eastAsia"/>
                <w:sz w:val="18"/>
                <w:szCs w:val="18"/>
              </w:rPr>
              <w:t>(S)</w:t>
            </w:r>
            <w:r>
              <w:rPr>
                <w:rFonts w:ascii="Arial" w:eastAsia="黑体" w:hAnsi="Arial" w:cs="Arial" w:hint="eastAsia"/>
                <w:sz w:val="18"/>
                <w:szCs w:val="18"/>
              </w:rPr>
              <w:t>，公用设施用地</w:t>
            </w:r>
            <w:r>
              <w:rPr>
                <w:rFonts w:ascii="Arial" w:eastAsia="黑体" w:hAnsi="Arial" w:cs="Arial" w:hint="eastAsia"/>
                <w:sz w:val="18"/>
                <w:szCs w:val="18"/>
              </w:rPr>
              <w:t>(U)</w:t>
            </w:r>
            <w:r>
              <w:rPr>
                <w:rFonts w:ascii="Arial" w:eastAsia="黑体" w:hAnsi="Arial" w:cs="Arial" w:hint="eastAsia"/>
                <w:sz w:val="18"/>
                <w:szCs w:val="18"/>
              </w:rPr>
              <w:t>，防护绿地</w:t>
            </w:r>
            <w:r>
              <w:rPr>
                <w:rFonts w:ascii="Arial" w:eastAsia="黑体" w:hAnsi="Arial" w:cs="Arial" w:hint="eastAsia"/>
                <w:sz w:val="18"/>
                <w:szCs w:val="18"/>
              </w:rPr>
              <w:t>(G2)</w:t>
            </w:r>
          </w:p>
        </w:tc>
        <w:tc>
          <w:tcPr>
            <w:tcW w:w="1629" w:type="dxa"/>
            <w:vAlign w:val="center"/>
          </w:tcPr>
          <w:p w:rsidR="00DA44CC" w:rsidRDefault="00C53A1B">
            <w:pPr>
              <w:adjustRightInd w:val="0"/>
              <w:snapToGrid w:val="0"/>
              <w:spacing w:before="240"/>
              <w:jc w:val="left"/>
              <w:rPr>
                <w:rFonts w:ascii="Arial" w:eastAsia="黑体" w:hAnsi="Arial" w:cs="Arial"/>
                <w:sz w:val="18"/>
                <w:szCs w:val="18"/>
              </w:rPr>
            </w:pPr>
            <w:r>
              <w:rPr>
                <w:rFonts w:ascii="Arial" w:eastAsia="黑体" w:hAnsi="Arial" w:cs="Arial" w:hint="eastAsia"/>
                <w:sz w:val="18"/>
                <w:szCs w:val="18"/>
              </w:rPr>
              <w:t>行政办公用地</w:t>
            </w:r>
            <w:r>
              <w:rPr>
                <w:rFonts w:ascii="Arial" w:eastAsia="黑体" w:hAnsi="Arial" w:cs="Arial" w:hint="eastAsia"/>
                <w:sz w:val="18"/>
                <w:szCs w:val="18"/>
              </w:rPr>
              <w:t>(A1)</w:t>
            </w:r>
            <w:r>
              <w:rPr>
                <w:rFonts w:ascii="Arial" w:eastAsia="黑体" w:hAnsi="Arial" w:cs="Arial" w:hint="eastAsia"/>
                <w:sz w:val="18"/>
                <w:szCs w:val="18"/>
              </w:rPr>
              <w:t>，道路与交通设施用地</w:t>
            </w:r>
            <w:r>
              <w:rPr>
                <w:rFonts w:ascii="Arial" w:eastAsia="黑体" w:hAnsi="Arial" w:cs="Arial" w:hint="eastAsia"/>
                <w:sz w:val="18"/>
                <w:szCs w:val="18"/>
              </w:rPr>
              <w:t>(S)</w:t>
            </w:r>
            <w:r>
              <w:rPr>
                <w:rFonts w:ascii="Arial" w:eastAsia="黑体" w:hAnsi="Arial" w:cs="Arial" w:hint="eastAsia"/>
                <w:sz w:val="18"/>
                <w:szCs w:val="18"/>
              </w:rPr>
              <w:t>，公用设施用地</w:t>
            </w:r>
            <w:r>
              <w:rPr>
                <w:rFonts w:ascii="Arial" w:eastAsia="黑体" w:hAnsi="Arial" w:cs="Arial" w:hint="eastAsia"/>
                <w:sz w:val="18"/>
                <w:szCs w:val="18"/>
              </w:rPr>
              <w:t>(U)</w:t>
            </w:r>
            <w:r>
              <w:rPr>
                <w:rFonts w:ascii="Arial" w:eastAsia="黑体" w:hAnsi="Arial" w:cs="Arial" w:hint="eastAsia"/>
                <w:sz w:val="18"/>
                <w:szCs w:val="18"/>
              </w:rPr>
              <w:t>，防护绿地</w:t>
            </w:r>
            <w:r>
              <w:rPr>
                <w:rFonts w:ascii="Arial" w:eastAsia="黑体" w:hAnsi="Arial" w:cs="Arial" w:hint="eastAsia"/>
                <w:sz w:val="18"/>
                <w:szCs w:val="18"/>
              </w:rPr>
              <w:t>(G2)</w:t>
            </w:r>
          </w:p>
        </w:tc>
        <w:tc>
          <w:tcPr>
            <w:tcW w:w="1629" w:type="dxa"/>
            <w:vAlign w:val="center"/>
          </w:tcPr>
          <w:p w:rsidR="00DA44CC" w:rsidRDefault="00C53A1B">
            <w:pPr>
              <w:adjustRightInd w:val="0"/>
              <w:snapToGrid w:val="0"/>
              <w:spacing w:before="240"/>
              <w:jc w:val="left"/>
              <w:rPr>
                <w:rFonts w:ascii="Arial" w:eastAsia="黑体" w:hAnsi="Arial" w:cs="Arial"/>
                <w:sz w:val="18"/>
                <w:szCs w:val="18"/>
              </w:rPr>
            </w:pPr>
            <w:r>
              <w:rPr>
                <w:rFonts w:ascii="Arial" w:eastAsia="黑体" w:hAnsi="Arial" w:cs="Arial" w:hint="eastAsia"/>
                <w:sz w:val="18"/>
                <w:szCs w:val="18"/>
              </w:rPr>
              <w:t>行政办公用地</w:t>
            </w:r>
            <w:r>
              <w:rPr>
                <w:rFonts w:ascii="Arial" w:eastAsia="黑体" w:hAnsi="Arial" w:cs="Arial" w:hint="eastAsia"/>
                <w:sz w:val="18"/>
                <w:szCs w:val="18"/>
              </w:rPr>
              <w:t>(A1)</w:t>
            </w:r>
            <w:r>
              <w:rPr>
                <w:rFonts w:ascii="Arial" w:eastAsia="黑体" w:hAnsi="Arial" w:cs="Arial" w:hint="eastAsia"/>
                <w:sz w:val="18"/>
                <w:szCs w:val="18"/>
              </w:rPr>
              <w:t>，一类二类工业用地</w:t>
            </w:r>
            <w:r>
              <w:rPr>
                <w:rFonts w:ascii="Arial" w:eastAsia="黑体" w:hAnsi="Arial" w:cs="Arial" w:hint="eastAsia"/>
                <w:sz w:val="18"/>
                <w:szCs w:val="18"/>
              </w:rPr>
              <w:t>(M1</w:t>
            </w:r>
            <w:r>
              <w:rPr>
                <w:rFonts w:ascii="Arial" w:eastAsia="黑体" w:hAnsi="Arial" w:cs="Arial" w:hint="eastAsia"/>
                <w:sz w:val="18"/>
                <w:szCs w:val="18"/>
              </w:rPr>
              <w:t>、</w:t>
            </w:r>
            <w:r>
              <w:rPr>
                <w:rFonts w:ascii="Arial" w:eastAsia="黑体" w:hAnsi="Arial" w:cs="Arial" w:hint="eastAsia"/>
                <w:sz w:val="18"/>
                <w:szCs w:val="18"/>
              </w:rPr>
              <w:t>M2)</w:t>
            </w:r>
            <w:r>
              <w:rPr>
                <w:rFonts w:ascii="Arial" w:eastAsia="黑体" w:hAnsi="Arial" w:cs="Arial" w:hint="eastAsia"/>
                <w:sz w:val="18"/>
                <w:szCs w:val="18"/>
              </w:rPr>
              <w:t>，道路与交通设施用地</w:t>
            </w:r>
            <w:r>
              <w:rPr>
                <w:rFonts w:ascii="Arial" w:eastAsia="黑体" w:hAnsi="Arial" w:cs="Arial" w:hint="eastAsia"/>
                <w:sz w:val="18"/>
                <w:szCs w:val="18"/>
              </w:rPr>
              <w:t>(S)</w:t>
            </w:r>
            <w:r>
              <w:rPr>
                <w:rFonts w:ascii="Arial" w:eastAsia="黑体" w:hAnsi="Arial" w:cs="Arial" w:hint="eastAsia"/>
                <w:sz w:val="18"/>
                <w:szCs w:val="18"/>
              </w:rPr>
              <w:t>，公用设施用地</w:t>
            </w:r>
            <w:r>
              <w:rPr>
                <w:rFonts w:ascii="Arial" w:eastAsia="黑体" w:hAnsi="Arial" w:cs="Arial" w:hint="eastAsia"/>
                <w:sz w:val="18"/>
                <w:szCs w:val="18"/>
              </w:rPr>
              <w:t>(U)</w:t>
            </w:r>
            <w:r>
              <w:rPr>
                <w:rFonts w:ascii="Arial" w:eastAsia="黑体" w:hAnsi="Arial" w:cs="Arial" w:hint="eastAsia"/>
                <w:sz w:val="18"/>
                <w:szCs w:val="18"/>
              </w:rPr>
              <w:t>，防护绿地</w:t>
            </w:r>
            <w:r>
              <w:rPr>
                <w:rFonts w:ascii="Arial" w:eastAsia="黑体" w:hAnsi="Arial" w:cs="Arial" w:hint="eastAsia"/>
                <w:sz w:val="18"/>
                <w:szCs w:val="18"/>
              </w:rPr>
              <w:t>(G2)</w:t>
            </w:r>
            <w:r>
              <w:rPr>
                <w:rFonts w:ascii="Arial" w:eastAsia="黑体" w:hAnsi="Arial" w:cs="Arial" w:hint="eastAsia"/>
                <w:sz w:val="18"/>
                <w:szCs w:val="18"/>
              </w:rPr>
              <w:t>，商业用地</w:t>
            </w:r>
            <w:r>
              <w:rPr>
                <w:rFonts w:ascii="Arial" w:eastAsia="黑体" w:hAnsi="Arial" w:cs="Arial" w:hint="eastAsia"/>
                <w:sz w:val="18"/>
                <w:szCs w:val="18"/>
              </w:rPr>
              <w:t>(B1)</w:t>
            </w:r>
            <w:r>
              <w:rPr>
                <w:rFonts w:ascii="Arial" w:eastAsia="黑体" w:hAnsi="Arial" w:cs="Arial" w:hint="eastAsia"/>
                <w:sz w:val="18"/>
                <w:szCs w:val="18"/>
              </w:rPr>
              <w:t>，商务用地</w:t>
            </w:r>
            <w:r>
              <w:rPr>
                <w:rFonts w:ascii="Arial" w:eastAsia="黑体" w:hAnsi="Arial" w:cs="Arial" w:hint="eastAsia"/>
                <w:sz w:val="18"/>
                <w:szCs w:val="18"/>
              </w:rPr>
              <w:t>(B2)</w:t>
            </w:r>
            <w:r>
              <w:rPr>
                <w:rFonts w:ascii="Arial" w:eastAsia="黑体" w:hAnsi="Arial" w:cs="Arial" w:hint="eastAsia"/>
                <w:sz w:val="18"/>
                <w:szCs w:val="18"/>
              </w:rPr>
              <w:t>，娱乐康体用地</w:t>
            </w:r>
            <w:r>
              <w:rPr>
                <w:rFonts w:ascii="Arial" w:eastAsia="黑体" w:hAnsi="Arial" w:cs="Arial" w:hint="eastAsia"/>
                <w:sz w:val="18"/>
                <w:szCs w:val="18"/>
              </w:rPr>
              <w:t>(B3)</w:t>
            </w:r>
          </w:p>
        </w:tc>
        <w:tc>
          <w:tcPr>
            <w:tcW w:w="1625" w:type="dxa"/>
            <w:vAlign w:val="center"/>
          </w:tcPr>
          <w:p w:rsidR="00DA44CC" w:rsidRDefault="00C53A1B">
            <w:pPr>
              <w:adjustRightInd w:val="0"/>
              <w:snapToGrid w:val="0"/>
              <w:spacing w:before="240"/>
              <w:jc w:val="left"/>
              <w:rPr>
                <w:rFonts w:ascii="Arial" w:eastAsia="黑体" w:hAnsi="Arial" w:cs="Arial"/>
                <w:sz w:val="18"/>
                <w:szCs w:val="18"/>
              </w:rPr>
            </w:pPr>
            <w:r>
              <w:rPr>
                <w:rFonts w:ascii="Arial" w:eastAsia="黑体" w:hAnsi="Arial" w:cs="Arial" w:hint="eastAsia"/>
                <w:sz w:val="18"/>
                <w:szCs w:val="18"/>
              </w:rPr>
              <w:t>行政办公用地</w:t>
            </w:r>
            <w:r>
              <w:rPr>
                <w:rFonts w:ascii="Arial" w:eastAsia="黑体" w:hAnsi="Arial" w:cs="Arial" w:hint="eastAsia"/>
                <w:sz w:val="18"/>
                <w:szCs w:val="18"/>
              </w:rPr>
              <w:t>(A1)</w:t>
            </w:r>
            <w:r>
              <w:rPr>
                <w:rFonts w:ascii="Arial" w:eastAsia="黑体" w:hAnsi="Arial" w:cs="Arial" w:hint="eastAsia"/>
                <w:sz w:val="18"/>
                <w:szCs w:val="18"/>
              </w:rPr>
              <w:t>，文化设施用地（</w:t>
            </w:r>
            <w:r>
              <w:rPr>
                <w:rFonts w:ascii="Arial" w:eastAsia="黑体" w:hAnsi="Arial" w:cs="Arial" w:hint="eastAsia"/>
                <w:sz w:val="18"/>
                <w:szCs w:val="18"/>
              </w:rPr>
              <w:t>A2</w:t>
            </w:r>
            <w:r>
              <w:rPr>
                <w:rFonts w:ascii="Arial" w:eastAsia="黑体" w:hAnsi="Arial" w:cs="Arial" w:hint="eastAsia"/>
                <w:sz w:val="18"/>
                <w:szCs w:val="18"/>
              </w:rPr>
              <w:t>），道路与交通设施用地</w:t>
            </w:r>
            <w:r>
              <w:rPr>
                <w:rFonts w:ascii="Arial" w:eastAsia="黑体" w:hAnsi="Arial" w:cs="Arial" w:hint="eastAsia"/>
                <w:sz w:val="18"/>
                <w:szCs w:val="18"/>
              </w:rPr>
              <w:t>(S)</w:t>
            </w:r>
            <w:r>
              <w:rPr>
                <w:rFonts w:ascii="Arial" w:eastAsia="黑体" w:hAnsi="Arial" w:cs="Arial" w:hint="eastAsia"/>
                <w:sz w:val="18"/>
                <w:szCs w:val="18"/>
              </w:rPr>
              <w:t>，公用设施用地</w:t>
            </w:r>
            <w:r>
              <w:rPr>
                <w:rFonts w:ascii="Arial" w:eastAsia="黑体" w:hAnsi="Arial" w:cs="Arial" w:hint="eastAsia"/>
                <w:sz w:val="18"/>
                <w:szCs w:val="18"/>
              </w:rPr>
              <w:t>(U)</w:t>
            </w:r>
            <w:r>
              <w:rPr>
                <w:rFonts w:ascii="Arial" w:eastAsia="黑体" w:hAnsi="Arial" w:cs="Arial" w:hint="eastAsia"/>
                <w:sz w:val="18"/>
                <w:szCs w:val="18"/>
              </w:rPr>
              <w:t>，绿地与广场用地</w:t>
            </w:r>
            <w:r>
              <w:rPr>
                <w:rFonts w:ascii="Arial" w:eastAsia="黑体" w:hAnsi="Arial" w:cs="Arial" w:hint="eastAsia"/>
                <w:sz w:val="18"/>
                <w:szCs w:val="18"/>
              </w:rPr>
              <w:t>(G)</w:t>
            </w:r>
            <w:r>
              <w:rPr>
                <w:rFonts w:ascii="Arial" w:eastAsia="黑体" w:hAnsi="Arial" w:cs="Arial" w:hint="eastAsia"/>
                <w:sz w:val="18"/>
                <w:szCs w:val="18"/>
              </w:rPr>
              <w:t>，商业用地</w:t>
            </w:r>
            <w:r>
              <w:rPr>
                <w:rFonts w:ascii="Arial" w:eastAsia="黑体" w:hAnsi="Arial" w:cs="Arial" w:hint="eastAsia"/>
                <w:sz w:val="18"/>
                <w:szCs w:val="18"/>
              </w:rPr>
              <w:t>(B1)</w:t>
            </w:r>
            <w:r>
              <w:rPr>
                <w:rFonts w:ascii="Arial" w:eastAsia="黑体" w:hAnsi="Arial" w:cs="Arial" w:hint="eastAsia"/>
                <w:sz w:val="18"/>
                <w:szCs w:val="18"/>
              </w:rPr>
              <w:t>，商务用地</w:t>
            </w:r>
            <w:r>
              <w:rPr>
                <w:rFonts w:ascii="Arial" w:eastAsia="黑体" w:hAnsi="Arial" w:cs="Arial" w:hint="eastAsia"/>
                <w:sz w:val="18"/>
                <w:szCs w:val="18"/>
              </w:rPr>
              <w:t>(B2)</w:t>
            </w:r>
          </w:p>
        </w:tc>
      </w:tr>
      <w:tr w:rsidR="00DA44CC">
        <w:tc>
          <w:tcPr>
            <w:tcW w:w="889" w:type="dxa"/>
            <w:gridSpan w:val="2"/>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完全兼容</w:t>
            </w:r>
          </w:p>
        </w:tc>
        <w:tc>
          <w:tcPr>
            <w:tcW w:w="1629" w:type="dxa"/>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w:t>
            </w:r>
          </w:p>
        </w:tc>
        <w:tc>
          <w:tcPr>
            <w:tcW w:w="1629" w:type="dxa"/>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w:t>
            </w:r>
          </w:p>
        </w:tc>
        <w:tc>
          <w:tcPr>
            <w:tcW w:w="1629" w:type="dxa"/>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w:t>
            </w:r>
          </w:p>
        </w:tc>
        <w:tc>
          <w:tcPr>
            <w:tcW w:w="1629" w:type="dxa"/>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w:t>
            </w:r>
          </w:p>
        </w:tc>
        <w:tc>
          <w:tcPr>
            <w:tcW w:w="1625" w:type="dxa"/>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科研用地（</w:t>
            </w:r>
            <w:r>
              <w:rPr>
                <w:rFonts w:ascii="Arial" w:eastAsia="黑体" w:hAnsi="Arial" w:cs="Arial" w:hint="eastAsia"/>
                <w:sz w:val="18"/>
                <w:szCs w:val="18"/>
              </w:rPr>
              <w:t>A35</w:t>
            </w:r>
            <w:r>
              <w:rPr>
                <w:rFonts w:ascii="Arial" w:eastAsia="黑体" w:hAnsi="Arial" w:cs="Arial" w:hint="eastAsia"/>
                <w:sz w:val="18"/>
                <w:szCs w:val="18"/>
              </w:rPr>
              <w:t>）</w:t>
            </w:r>
          </w:p>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一类工业用地</w:t>
            </w:r>
            <w:r>
              <w:rPr>
                <w:rFonts w:ascii="Arial" w:eastAsia="黑体" w:hAnsi="Arial" w:cs="Arial" w:hint="eastAsia"/>
                <w:sz w:val="18"/>
                <w:szCs w:val="18"/>
              </w:rPr>
              <w:t>(M1)</w:t>
            </w:r>
          </w:p>
        </w:tc>
      </w:tr>
      <w:tr w:rsidR="00DA44CC">
        <w:tc>
          <w:tcPr>
            <w:tcW w:w="889" w:type="dxa"/>
            <w:gridSpan w:val="2"/>
            <w:vAlign w:val="center"/>
          </w:tcPr>
          <w:p w:rsidR="00DA44CC" w:rsidRDefault="00C53A1B">
            <w:pPr>
              <w:adjustRightInd w:val="0"/>
              <w:snapToGrid w:val="0"/>
              <w:spacing w:before="240"/>
              <w:rPr>
                <w:rFonts w:ascii="Arial" w:eastAsia="黑体" w:hAnsi="Arial" w:cs="Arial"/>
                <w:sz w:val="18"/>
                <w:szCs w:val="18"/>
              </w:rPr>
            </w:pPr>
            <w:r>
              <w:rPr>
                <w:rFonts w:ascii="Arial" w:eastAsia="黑体" w:hAnsi="Arial" w:cs="Arial" w:hint="eastAsia"/>
                <w:sz w:val="18"/>
                <w:szCs w:val="18"/>
              </w:rPr>
              <w:t>禁止兼容</w:t>
            </w:r>
          </w:p>
        </w:tc>
        <w:tc>
          <w:tcPr>
            <w:tcW w:w="1629" w:type="dxa"/>
            <w:vAlign w:val="center"/>
          </w:tcPr>
          <w:p w:rsidR="00DA44CC" w:rsidRDefault="00C53A1B">
            <w:pPr>
              <w:adjustRightInd w:val="0"/>
              <w:snapToGrid w:val="0"/>
              <w:spacing w:before="240"/>
              <w:jc w:val="left"/>
              <w:rPr>
                <w:rFonts w:ascii="Arial" w:eastAsia="黑体" w:hAnsi="Arial" w:cs="Arial"/>
                <w:sz w:val="18"/>
                <w:szCs w:val="18"/>
              </w:rPr>
            </w:pPr>
            <w:r>
              <w:rPr>
                <w:rFonts w:ascii="Arial" w:eastAsia="黑体" w:hAnsi="Arial" w:cs="Arial" w:hint="eastAsia"/>
                <w:sz w:val="18"/>
                <w:szCs w:val="18"/>
              </w:rPr>
              <w:t>居住用地</w:t>
            </w:r>
            <w:r>
              <w:rPr>
                <w:rFonts w:ascii="Arial" w:eastAsia="黑体" w:hAnsi="Arial" w:cs="Arial" w:hint="eastAsia"/>
                <w:sz w:val="18"/>
                <w:szCs w:val="18"/>
              </w:rPr>
              <w:t>(R)</w:t>
            </w:r>
            <w:r>
              <w:rPr>
                <w:rFonts w:ascii="Arial" w:eastAsia="黑体" w:hAnsi="Arial" w:cs="Arial" w:hint="eastAsia"/>
                <w:sz w:val="18"/>
                <w:szCs w:val="18"/>
              </w:rPr>
              <w:t>，二类三类工业用地</w:t>
            </w:r>
            <w:r>
              <w:rPr>
                <w:rFonts w:ascii="Arial" w:eastAsia="黑体" w:hAnsi="Arial" w:cs="Arial" w:hint="eastAsia"/>
                <w:sz w:val="18"/>
                <w:szCs w:val="18"/>
              </w:rPr>
              <w:t>(M2</w:t>
            </w:r>
            <w:r>
              <w:rPr>
                <w:rFonts w:ascii="Arial" w:eastAsia="黑体" w:hAnsi="Arial" w:cs="Arial" w:hint="eastAsia"/>
                <w:sz w:val="18"/>
                <w:szCs w:val="18"/>
              </w:rPr>
              <w:t>、</w:t>
            </w:r>
            <w:r>
              <w:rPr>
                <w:rFonts w:ascii="Arial" w:eastAsia="黑体" w:hAnsi="Arial" w:cs="Arial" w:hint="eastAsia"/>
                <w:sz w:val="18"/>
                <w:szCs w:val="18"/>
              </w:rPr>
              <w:t>M3)</w:t>
            </w:r>
            <w:r>
              <w:rPr>
                <w:rFonts w:ascii="Arial" w:eastAsia="黑体" w:hAnsi="Arial" w:cs="Arial" w:hint="eastAsia"/>
                <w:sz w:val="18"/>
                <w:szCs w:val="18"/>
              </w:rPr>
              <w:t>，二类三类物流仓储用地</w:t>
            </w:r>
            <w:r>
              <w:rPr>
                <w:rFonts w:ascii="Arial" w:eastAsia="黑体" w:hAnsi="Arial" w:cs="Arial" w:hint="eastAsia"/>
                <w:sz w:val="18"/>
                <w:szCs w:val="18"/>
              </w:rPr>
              <w:t>(W2</w:t>
            </w:r>
            <w:r>
              <w:rPr>
                <w:rFonts w:ascii="Arial" w:eastAsia="黑体" w:hAnsi="Arial" w:cs="Arial" w:hint="eastAsia"/>
                <w:sz w:val="18"/>
                <w:szCs w:val="18"/>
              </w:rPr>
              <w:t>、</w:t>
            </w:r>
            <w:r>
              <w:rPr>
                <w:rFonts w:ascii="Arial" w:eastAsia="黑体" w:hAnsi="Arial" w:cs="Arial" w:hint="eastAsia"/>
                <w:sz w:val="18"/>
                <w:szCs w:val="18"/>
              </w:rPr>
              <w:t>W3)</w:t>
            </w:r>
          </w:p>
        </w:tc>
        <w:tc>
          <w:tcPr>
            <w:tcW w:w="1629" w:type="dxa"/>
            <w:vAlign w:val="center"/>
          </w:tcPr>
          <w:p w:rsidR="00DA44CC" w:rsidRDefault="00C53A1B">
            <w:pPr>
              <w:adjustRightInd w:val="0"/>
              <w:snapToGrid w:val="0"/>
              <w:spacing w:before="240"/>
              <w:jc w:val="left"/>
              <w:rPr>
                <w:rFonts w:ascii="Arial" w:eastAsia="黑体" w:hAnsi="Arial" w:cs="Arial"/>
                <w:sz w:val="18"/>
                <w:szCs w:val="18"/>
              </w:rPr>
            </w:pPr>
            <w:r>
              <w:rPr>
                <w:rFonts w:ascii="Arial" w:eastAsia="黑体" w:hAnsi="Arial" w:cs="Arial" w:hint="eastAsia"/>
                <w:sz w:val="18"/>
                <w:szCs w:val="18"/>
              </w:rPr>
              <w:t>居住用地</w:t>
            </w:r>
            <w:r>
              <w:rPr>
                <w:rFonts w:ascii="Arial" w:eastAsia="黑体" w:hAnsi="Arial" w:cs="Arial" w:hint="eastAsia"/>
                <w:sz w:val="18"/>
                <w:szCs w:val="18"/>
              </w:rPr>
              <w:t>(R)</w:t>
            </w:r>
            <w:r>
              <w:rPr>
                <w:rFonts w:ascii="Arial" w:eastAsia="黑体" w:hAnsi="Arial" w:cs="Arial" w:hint="eastAsia"/>
                <w:sz w:val="18"/>
                <w:szCs w:val="18"/>
              </w:rPr>
              <w:t>，除行政办公用地外的公共管理与公共服务设施用地</w:t>
            </w:r>
            <w:r>
              <w:rPr>
                <w:rFonts w:ascii="Arial" w:eastAsia="黑体" w:hAnsi="Arial" w:cs="Arial" w:hint="eastAsia"/>
                <w:sz w:val="18"/>
                <w:szCs w:val="18"/>
              </w:rPr>
              <w:t>(A2-A9)</w:t>
            </w:r>
            <w:r>
              <w:rPr>
                <w:rFonts w:ascii="Arial" w:eastAsia="黑体" w:hAnsi="Arial" w:cs="Arial" w:hint="eastAsia"/>
                <w:sz w:val="18"/>
                <w:szCs w:val="18"/>
              </w:rPr>
              <w:t>，商业用地</w:t>
            </w:r>
            <w:r>
              <w:rPr>
                <w:rFonts w:ascii="Arial" w:eastAsia="黑体" w:hAnsi="Arial" w:cs="Arial" w:hint="eastAsia"/>
                <w:sz w:val="18"/>
                <w:szCs w:val="18"/>
              </w:rPr>
              <w:t>(B1)</w:t>
            </w:r>
            <w:r>
              <w:rPr>
                <w:rFonts w:ascii="Arial" w:eastAsia="黑体" w:hAnsi="Arial" w:cs="Arial" w:hint="eastAsia"/>
                <w:sz w:val="18"/>
                <w:szCs w:val="18"/>
              </w:rPr>
              <w:t>，商务用地</w:t>
            </w:r>
            <w:r>
              <w:rPr>
                <w:rFonts w:ascii="Arial" w:eastAsia="黑体" w:hAnsi="Arial" w:cs="Arial" w:hint="eastAsia"/>
                <w:sz w:val="18"/>
                <w:szCs w:val="18"/>
              </w:rPr>
              <w:t>(B2)</w:t>
            </w:r>
            <w:r>
              <w:rPr>
                <w:rFonts w:ascii="Arial" w:eastAsia="黑体" w:hAnsi="Arial" w:cs="Arial" w:hint="eastAsia"/>
                <w:sz w:val="18"/>
                <w:szCs w:val="18"/>
              </w:rPr>
              <w:t>，娱乐康体用地</w:t>
            </w:r>
            <w:r>
              <w:rPr>
                <w:rFonts w:ascii="Arial" w:eastAsia="黑体" w:hAnsi="Arial" w:cs="Arial" w:hint="eastAsia"/>
                <w:sz w:val="18"/>
                <w:szCs w:val="18"/>
              </w:rPr>
              <w:t>(B3)</w:t>
            </w:r>
            <w:r>
              <w:rPr>
                <w:rFonts w:ascii="Arial" w:eastAsia="黑体" w:hAnsi="Arial" w:cs="Arial" w:hint="eastAsia"/>
                <w:sz w:val="18"/>
                <w:szCs w:val="18"/>
              </w:rPr>
              <w:t>，三类物流仓储用地</w:t>
            </w:r>
            <w:r>
              <w:rPr>
                <w:rFonts w:ascii="Arial" w:eastAsia="黑体" w:hAnsi="Arial" w:cs="Arial" w:hint="eastAsia"/>
                <w:sz w:val="18"/>
                <w:szCs w:val="18"/>
              </w:rPr>
              <w:t>(W3)</w:t>
            </w:r>
          </w:p>
        </w:tc>
        <w:tc>
          <w:tcPr>
            <w:tcW w:w="1629" w:type="dxa"/>
            <w:vAlign w:val="center"/>
          </w:tcPr>
          <w:p w:rsidR="00DA44CC" w:rsidRDefault="00C53A1B">
            <w:pPr>
              <w:adjustRightInd w:val="0"/>
              <w:snapToGrid w:val="0"/>
              <w:spacing w:before="240"/>
              <w:jc w:val="left"/>
              <w:rPr>
                <w:rFonts w:ascii="Arial" w:eastAsia="黑体" w:hAnsi="Arial" w:cs="Arial"/>
                <w:sz w:val="18"/>
                <w:szCs w:val="18"/>
              </w:rPr>
            </w:pPr>
            <w:r>
              <w:rPr>
                <w:rFonts w:ascii="Arial" w:eastAsia="黑体" w:hAnsi="Arial" w:cs="Arial" w:hint="eastAsia"/>
                <w:sz w:val="18"/>
                <w:szCs w:val="18"/>
              </w:rPr>
              <w:t>居住用地</w:t>
            </w:r>
            <w:r>
              <w:rPr>
                <w:rFonts w:ascii="Arial" w:eastAsia="黑体" w:hAnsi="Arial" w:cs="Arial" w:hint="eastAsia"/>
                <w:sz w:val="18"/>
                <w:szCs w:val="18"/>
              </w:rPr>
              <w:t>(R)</w:t>
            </w:r>
            <w:r>
              <w:rPr>
                <w:rFonts w:ascii="Arial" w:eastAsia="黑体" w:hAnsi="Arial" w:cs="Arial" w:hint="eastAsia"/>
                <w:sz w:val="18"/>
                <w:szCs w:val="18"/>
              </w:rPr>
              <w:t>，除行政办公用地外的公共管理与公共服务设施用地</w:t>
            </w:r>
            <w:r>
              <w:rPr>
                <w:rFonts w:ascii="Arial" w:eastAsia="黑体" w:hAnsi="Arial" w:cs="Arial" w:hint="eastAsia"/>
                <w:sz w:val="18"/>
                <w:szCs w:val="18"/>
              </w:rPr>
              <w:t>(A2-A9)</w:t>
            </w:r>
            <w:r>
              <w:rPr>
                <w:rFonts w:ascii="Arial" w:eastAsia="黑体" w:hAnsi="Arial" w:cs="Arial" w:hint="eastAsia"/>
                <w:sz w:val="18"/>
                <w:szCs w:val="18"/>
              </w:rPr>
              <w:t>，商业服务业设施用地</w:t>
            </w:r>
            <w:r>
              <w:rPr>
                <w:rFonts w:ascii="Arial" w:eastAsia="黑体" w:hAnsi="Arial" w:cs="Arial" w:hint="eastAsia"/>
                <w:sz w:val="18"/>
                <w:szCs w:val="18"/>
              </w:rPr>
              <w:t>(B)</w:t>
            </w:r>
            <w:r>
              <w:rPr>
                <w:rFonts w:ascii="Arial" w:eastAsia="黑体" w:hAnsi="Arial" w:cs="Arial" w:hint="eastAsia"/>
                <w:sz w:val="18"/>
                <w:szCs w:val="18"/>
              </w:rPr>
              <w:t>，三类物流仓储用地</w:t>
            </w:r>
            <w:r>
              <w:rPr>
                <w:rFonts w:ascii="Arial" w:eastAsia="黑体" w:hAnsi="Arial" w:cs="Arial" w:hint="eastAsia"/>
                <w:sz w:val="18"/>
                <w:szCs w:val="18"/>
              </w:rPr>
              <w:t>(W3)</w:t>
            </w:r>
          </w:p>
        </w:tc>
        <w:tc>
          <w:tcPr>
            <w:tcW w:w="1629" w:type="dxa"/>
            <w:vAlign w:val="center"/>
          </w:tcPr>
          <w:p w:rsidR="00DA44CC" w:rsidRDefault="00C53A1B">
            <w:pPr>
              <w:adjustRightInd w:val="0"/>
              <w:snapToGrid w:val="0"/>
              <w:spacing w:before="240"/>
              <w:jc w:val="left"/>
              <w:rPr>
                <w:rFonts w:ascii="Arial" w:eastAsia="黑体" w:hAnsi="Arial" w:cs="Arial"/>
                <w:sz w:val="18"/>
                <w:szCs w:val="18"/>
              </w:rPr>
            </w:pPr>
            <w:r>
              <w:rPr>
                <w:rFonts w:ascii="Arial" w:eastAsia="黑体" w:hAnsi="Arial" w:cs="Arial" w:hint="eastAsia"/>
                <w:sz w:val="18"/>
                <w:szCs w:val="18"/>
              </w:rPr>
              <w:t>居住用地</w:t>
            </w:r>
            <w:r>
              <w:rPr>
                <w:rFonts w:ascii="Arial" w:eastAsia="黑体" w:hAnsi="Arial" w:cs="Arial" w:hint="eastAsia"/>
                <w:sz w:val="18"/>
                <w:szCs w:val="18"/>
              </w:rPr>
              <w:t>(R)</w:t>
            </w:r>
            <w:r>
              <w:rPr>
                <w:rFonts w:ascii="Arial" w:eastAsia="黑体" w:hAnsi="Arial" w:cs="Arial" w:hint="eastAsia"/>
                <w:sz w:val="18"/>
                <w:szCs w:val="18"/>
              </w:rPr>
              <w:t>，除行政办公用地外的公共管理与公共服务设施用地</w:t>
            </w:r>
            <w:r>
              <w:rPr>
                <w:rFonts w:ascii="Arial" w:eastAsia="黑体" w:hAnsi="Arial" w:cs="Arial" w:hint="eastAsia"/>
                <w:sz w:val="18"/>
                <w:szCs w:val="18"/>
              </w:rPr>
              <w:t>(A2-A9)</w:t>
            </w:r>
            <w:r>
              <w:rPr>
                <w:rFonts w:ascii="Arial" w:eastAsia="黑体" w:hAnsi="Arial" w:cs="Arial" w:hint="eastAsia"/>
                <w:sz w:val="18"/>
                <w:szCs w:val="18"/>
              </w:rPr>
              <w:t>，三类工业用地</w:t>
            </w:r>
            <w:r>
              <w:rPr>
                <w:rFonts w:ascii="Arial" w:eastAsia="黑体" w:hAnsi="Arial" w:cs="Arial" w:hint="eastAsia"/>
                <w:sz w:val="18"/>
                <w:szCs w:val="18"/>
              </w:rPr>
              <w:t>(M3)</w:t>
            </w:r>
          </w:p>
        </w:tc>
        <w:tc>
          <w:tcPr>
            <w:tcW w:w="1625" w:type="dxa"/>
            <w:vAlign w:val="center"/>
          </w:tcPr>
          <w:p w:rsidR="00DA44CC" w:rsidRDefault="00C53A1B">
            <w:pPr>
              <w:adjustRightInd w:val="0"/>
              <w:snapToGrid w:val="0"/>
              <w:spacing w:before="240"/>
              <w:jc w:val="left"/>
              <w:rPr>
                <w:rFonts w:ascii="Arial" w:eastAsia="黑体" w:hAnsi="Arial" w:cs="Arial"/>
                <w:sz w:val="18"/>
                <w:szCs w:val="18"/>
              </w:rPr>
            </w:pPr>
            <w:r>
              <w:rPr>
                <w:rFonts w:ascii="Arial" w:eastAsia="黑体" w:hAnsi="Arial" w:cs="Arial" w:hint="eastAsia"/>
                <w:sz w:val="18"/>
                <w:szCs w:val="18"/>
              </w:rPr>
              <w:t>居住用地</w:t>
            </w:r>
            <w:r>
              <w:rPr>
                <w:rFonts w:ascii="Arial" w:eastAsia="黑体" w:hAnsi="Arial" w:cs="Arial" w:hint="eastAsia"/>
                <w:sz w:val="18"/>
                <w:szCs w:val="18"/>
              </w:rPr>
              <w:t>(R)</w:t>
            </w:r>
            <w:r>
              <w:rPr>
                <w:rFonts w:ascii="Arial" w:eastAsia="黑体" w:hAnsi="Arial" w:cs="Arial" w:hint="eastAsia"/>
                <w:sz w:val="18"/>
                <w:szCs w:val="18"/>
              </w:rPr>
              <w:t>，娱乐康体用地</w:t>
            </w:r>
            <w:r>
              <w:rPr>
                <w:rFonts w:ascii="Arial" w:eastAsia="黑体" w:hAnsi="Arial" w:cs="Arial" w:hint="eastAsia"/>
                <w:sz w:val="18"/>
                <w:szCs w:val="18"/>
              </w:rPr>
              <w:t>(B3)</w:t>
            </w:r>
            <w:r>
              <w:rPr>
                <w:rFonts w:ascii="Arial" w:eastAsia="黑体" w:hAnsi="Arial" w:cs="Arial" w:hint="eastAsia"/>
                <w:sz w:val="18"/>
                <w:szCs w:val="18"/>
              </w:rPr>
              <w:t>，二类三类工业用地</w:t>
            </w:r>
            <w:r>
              <w:rPr>
                <w:rFonts w:ascii="Arial" w:eastAsia="黑体" w:hAnsi="Arial" w:cs="Arial" w:hint="eastAsia"/>
                <w:sz w:val="18"/>
                <w:szCs w:val="18"/>
              </w:rPr>
              <w:t>(M2</w:t>
            </w:r>
            <w:r>
              <w:rPr>
                <w:rFonts w:ascii="Arial" w:eastAsia="黑体" w:hAnsi="Arial" w:cs="Arial" w:hint="eastAsia"/>
                <w:sz w:val="18"/>
                <w:szCs w:val="18"/>
              </w:rPr>
              <w:t>、</w:t>
            </w:r>
            <w:r>
              <w:rPr>
                <w:rFonts w:ascii="Arial" w:eastAsia="黑体" w:hAnsi="Arial" w:cs="Arial" w:hint="eastAsia"/>
                <w:sz w:val="18"/>
                <w:szCs w:val="18"/>
              </w:rPr>
              <w:t>M3)</w:t>
            </w:r>
            <w:r>
              <w:rPr>
                <w:rFonts w:ascii="Arial" w:eastAsia="黑体" w:hAnsi="Arial" w:cs="Arial" w:hint="eastAsia"/>
                <w:sz w:val="18"/>
                <w:szCs w:val="18"/>
              </w:rPr>
              <w:t>，物流仓储用地</w:t>
            </w:r>
            <w:r>
              <w:rPr>
                <w:rFonts w:ascii="Arial" w:eastAsia="黑体" w:hAnsi="Arial" w:cs="Arial" w:hint="eastAsia"/>
                <w:sz w:val="18"/>
                <w:szCs w:val="18"/>
              </w:rPr>
              <w:t>(W)</w:t>
            </w:r>
          </w:p>
        </w:tc>
      </w:tr>
    </w:tbl>
    <w:p w:rsidR="00DA44CC" w:rsidRDefault="00C53A1B">
      <w:pPr>
        <w:adjustRightInd w:val="0"/>
        <w:snapToGrid w:val="0"/>
        <w:spacing w:line="288" w:lineRule="auto"/>
        <w:rPr>
          <w:rFonts w:ascii="黑体" w:eastAsia="黑体" w:hAnsi="黑体"/>
          <w:sz w:val="18"/>
          <w:szCs w:val="18"/>
        </w:rPr>
      </w:pPr>
      <w:r>
        <w:rPr>
          <w:rFonts w:ascii="黑体" w:eastAsia="黑体" w:hAnsi="黑体" w:hint="eastAsia"/>
          <w:sz w:val="18"/>
          <w:szCs w:val="18"/>
        </w:rPr>
        <w:t>注：1、工业用地(M)兼容绿地与广场用地(G)不得超过总用地规模的20%；</w:t>
      </w:r>
    </w:p>
    <w:p w:rsidR="00DA44CC" w:rsidRDefault="00C53A1B">
      <w:pPr>
        <w:adjustRightInd w:val="0"/>
        <w:snapToGrid w:val="0"/>
        <w:spacing w:line="288" w:lineRule="auto"/>
        <w:ind w:firstLineChars="200" w:firstLine="360"/>
        <w:rPr>
          <w:rFonts w:ascii="黑体" w:eastAsia="黑体" w:hAnsi="黑体"/>
          <w:sz w:val="18"/>
          <w:szCs w:val="18"/>
        </w:rPr>
      </w:pPr>
      <w:r>
        <w:rPr>
          <w:rFonts w:ascii="黑体" w:eastAsia="黑体" w:hAnsi="黑体" w:hint="eastAsia"/>
          <w:sz w:val="18"/>
          <w:szCs w:val="18"/>
        </w:rPr>
        <w:t>2、新型产业用地(M0)兼容文化设施用地(A2)不得超过总用地规模的30%；</w:t>
      </w:r>
    </w:p>
    <w:p w:rsidR="00DA44CC" w:rsidRDefault="00C53A1B">
      <w:pPr>
        <w:adjustRightInd w:val="0"/>
        <w:snapToGrid w:val="0"/>
        <w:spacing w:line="288" w:lineRule="auto"/>
        <w:ind w:firstLineChars="200" w:firstLine="360"/>
        <w:rPr>
          <w:rFonts w:ascii="黑体" w:eastAsia="黑体" w:hAnsi="黑体"/>
          <w:sz w:val="18"/>
          <w:szCs w:val="18"/>
        </w:rPr>
      </w:pPr>
      <w:r>
        <w:rPr>
          <w:rFonts w:ascii="黑体" w:eastAsia="黑体" w:hAnsi="黑体" w:hint="eastAsia"/>
          <w:sz w:val="18"/>
          <w:szCs w:val="18"/>
        </w:rPr>
        <w:t>3、物流仓储用地(W)兼容绿地与广场用地(G)不得超过总用地规模的20%；属于物流园区的仓储用地，兼容公共管理与公共服务设施用地(A)、商业服务业设施用地(B)的各项用地总和不得超过地块总用地规模的30%；</w:t>
      </w:r>
    </w:p>
    <w:p w:rsidR="00DA44CC" w:rsidRDefault="00C53A1B">
      <w:pPr>
        <w:adjustRightInd w:val="0"/>
        <w:snapToGrid w:val="0"/>
        <w:spacing w:line="288" w:lineRule="auto"/>
        <w:ind w:firstLineChars="200" w:firstLine="360"/>
        <w:rPr>
          <w:rFonts w:ascii="黑体" w:eastAsia="黑体" w:hAnsi="黑体"/>
          <w:sz w:val="18"/>
          <w:szCs w:val="18"/>
        </w:rPr>
      </w:pPr>
      <w:r>
        <w:rPr>
          <w:rFonts w:ascii="黑体" w:eastAsia="黑体" w:hAnsi="黑体" w:hint="eastAsia"/>
          <w:sz w:val="18"/>
          <w:szCs w:val="18"/>
        </w:rPr>
        <w:t>4</w:t>
      </w:r>
      <w:r>
        <w:rPr>
          <w:rFonts w:ascii="黑体" w:eastAsia="黑体" w:hAnsi="黑体"/>
          <w:sz w:val="18"/>
          <w:szCs w:val="18"/>
        </w:rPr>
        <w:t>、工业</w:t>
      </w:r>
      <w:r>
        <w:rPr>
          <w:rFonts w:ascii="黑体" w:eastAsia="黑体" w:hAnsi="黑体" w:hint="eastAsia"/>
          <w:sz w:val="18"/>
          <w:szCs w:val="18"/>
        </w:rPr>
        <w:t>区</w:t>
      </w:r>
      <w:r>
        <w:rPr>
          <w:rFonts w:ascii="黑体" w:eastAsia="黑体" w:hAnsi="黑体"/>
          <w:sz w:val="18"/>
          <w:szCs w:val="18"/>
        </w:rPr>
        <w:t>有特殊要求的，按</w:t>
      </w:r>
      <w:r>
        <w:rPr>
          <w:rFonts w:ascii="黑体" w:eastAsia="黑体" w:hAnsi="黑体" w:hint="eastAsia"/>
          <w:sz w:val="18"/>
          <w:szCs w:val="18"/>
        </w:rPr>
        <w:t>照行业管理或街区控规的</w:t>
      </w:r>
      <w:r>
        <w:rPr>
          <w:rFonts w:ascii="黑体" w:eastAsia="黑体" w:hAnsi="黑体"/>
          <w:sz w:val="18"/>
          <w:szCs w:val="18"/>
        </w:rPr>
        <w:t>要求执行。</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第十条  地下空间兼容规定</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1.地下空间兼容人防工程、交通、市政、商业、公共服务、工业仓储的，应符合国家、省、市对地下空间开发利用管理和相关专项规划要求。地下空间禁止兼容住宅、社会福利设施、学校。</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2.公园绿地、防护绿地在征得园林部门同意的情况下，可以地下空间复合利用的方式有条件兼容公共汽电车首末站(S41)、社</w:t>
      </w:r>
      <w:r>
        <w:rPr>
          <w:rFonts w:ascii="方正仿宋简体" w:eastAsia="方正仿宋简体" w:hAnsi="宋体" w:cs="仿宋_GB2312" w:hint="eastAsia"/>
          <w:color w:val="000000"/>
          <w:sz w:val="32"/>
          <w:szCs w:val="32"/>
        </w:rPr>
        <w:lastRenderedPageBreak/>
        <w:t>会停车场用地(S42)、开闭所或配电房(U12)、雨水或污水泵站(U21)、垃圾转运站或公厕(U22)等，露出地面的建构筑物应实施立体绿化设计。广场用地的规划用地兼容性可参照执行。</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第十一条  城市道路、铁路和轨道高架部分的下方地面空间，有条件允许兼容绿地、市政设施。</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第十二条  兼容性规定应用</w:t>
      </w:r>
    </w:p>
    <w:p w:rsidR="00DA44CC" w:rsidRPr="007852A6"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1.“完全兼容”以及“部分兼容”中“允许”的用地性质，在满</w:t>
      </w:r>
      <w:r w:rsidRPr="007852A6">
        <w:rPr>
          <w:rFonts w:ascii="方正仿宋简体" w:eastAsia="方正仿宋简体" w:hAnsi="宋体" w:cs="仿宋_GB2312" w:hint="eastAsia"/>
          <w:color w:val="000000"/>
          <w:sz w:val="32"/>
          <w:szCs w:val="32"/>
        </w:rPr>
        <w:t>足本</w:t>
      </w:r>
      <w:r w:rsidR="00526524" w:rsidRPr="007852A6">
        <w:rPr>
          <w:rFonts w:ascii="方正仿宋简体" w:eastAsia="方正仿宋简体" w:hAnsi="宋体" w:cs="仿宋_GB2312" w:hint="eastAsia"/>
          <w:color w:val="000000"/>
          <w:sz w:val="32"/>
          <w:szCs w:val="32"/>
        </w:rPr>
        <w:t>通则中</w:t>
      </w:r>
      <w:r w:rsidRPr="007852A6">
        <w:rPr>
          <w:rFonts w:ascii="方正仿宋简体" w:eastAsia="方正仿宋简体" w:hAnsi="宋体" w:cs="仿宋_GB2312" w:hint="eastAsia"/>
          <w:color w:val="000000"/>
          <w:sz w:val="32"/>
          <w:szCs w:val="32"/>
        </w:rPr>
        <w:t>的相关条件后，可直接应用于规划管理。</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sidRPr="007852A6">
        <w:rPr>
          <w:rFonts w:ascii="方正仿宋简体" w:eastAsia="方正仿宋简体" w:hAnsi="宋体" w:cs="仿宋_GB2312" w:hint="eastAsia"/>
          <w:color w:val="000000"/>
          <w:sz w:val="32"/>
          <w:szCs w:val="32"/>
        </w:rPr>
        <w:t>2.“部分兼容”中有“有条件允许”的用地性质，除满足本</w:t>
      </w:r>
      <w:r w:rsidR="00526524" w:rsidRPr="007852A6">
        <w:rPr>
          <w:rFonts w:ascii="方正仿宋简体" w:eastAsia="方正仿宋简体" w:hAnsi="宋体" w:cs="仿宋_GB2312" w:hint="eastAsia"/>
          <w:color w:val="000000"/>
          <w:sz w:val="32"/>
          <w:szCs w:val="32"/>
        </w:rPr>
        <w:t>通则</w:t>
      </w:r>
      <w:r w:rsidRPr="007852A6">
        <w:rPr>
          <w:rFonts w:ascii="方正仿宋简体" w:eastAsia="方正仿宋简体" w:hAnsi="宋体" w:cs="仿宋_GB2312" w:hint="eastAsia"/>
          <w:color w:val="000000"/>
          <w:sz w:val="32"/>
          <w:szCs w:val="32"/>
        </w:rPr>
        <w:t>中的相关条件外，还须通过规划论证或者编制街区控规，进一步明确兼容的约</w:t>
      </w:r>
      <w:r>
        <w:rPr>
          <w:rFonts w:ascii="方正仿宋简体" w:eastAsia="方正仿宋简体" w:hAnsi="宋体" w:cs="仿宋_GB2312" w:hint="eastAsia"/>
          <w:color w:val="000000"/>
          <w:sz w:val="32"/>
          <w:szCs w:val="32"/>
        </w:rPr>
        <w:t>束条件，才能应用于规划管理。</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3.未涉及的用地类型，其用地兼容性的判断须进行规划论证。</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4.控规确定的高压走廊、输油管廊等防护绿地，在管线迁移或入地后，允许兼容与之相邻地块的用地性质及其他无环境影响的用地性质。</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5.进行过规划兼容的地块，应在“一张图”中专门注明相关信息。</w:t>
      </w:r>
    </w:p>
    <w:p w:rsidR="00DA44CC" w:rsidRDefault="00DA44CC">
      <w:pPr>
        <w:adjustRightInd w:val="0"/>
        <w:snapToGrid w:val="0"/>
        <w:spacing w:line="600" w:lineRule="exact"/>
        <w:jc w:val="center"/>
        <w:rPr>
          <w:rFonts w:ascii="方正黑体简体" w:eastAsia="方正黑体简体" w:hAnsi="宋体" w:cs="黑体"/>
          <w:color w:val="000000"/>
          <w:sz w:val="32"/>
          <w:szCs w:val="32"/>
        </w:rPr>
      </w:pPr>
    </w:p>
    <w:p w:rsidR="00DA44CC" w:rsidRDefault="00C53A1B" w:rsidP="00D43F73">
      <w:pPr>
        <w:adjustRightInd w:val="0"/>
        <w:snapToGrid w:val="0"/>
        <w:spacing w:line="58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第五节  建设用地混合规定</w:t>
      </w:r>
    </w:p>
    <w:p w:rsidR="00DA44CC" w:rsidRDefault="00C53A1B" w:rsidP="00D43F73">
      <w:pPr>
        <w:adjustRightInd w:val="0"/>
        <w:snapToGrid w:val="0"/>
        <w:spacing w:line="58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第十三条  混合用地的使用</w:t>
      </w:r>
    </w:p>
    <w:p w:rsidR="00DA44CC" w:rsidRPr="007852A6" w:rsidRDefault="00C53A1B" w:rsidP="00526524">
      <w:pPr>
        <w:adjustRightInd w:val="0"/>
        <w:snapToGrid w:val="0"/>
        <w:spacing w:line="600" w:lineRule="exact"/>
        <w:ind w:firstLineChars="200" w:firstLine="640"/>
        <w:rPr>
          <w:rFonts w:ascii="方正仿宋简体" w:eastAsia="方正仿宋简体" w:hAnsi="宋体" w:cs="仿宋_GB2312"/>
          <w:sz w:val="32"/>
          <w:szCs w:val="32"/>
        </w:rPr>
      </w:pPr>
      <w:r>
        <w:rPr>
          <w:rFonts w:ascii="方正仿宋简体" w:eastAsia="方正仿宋简体" w:hAnsi="宋体" w:cs="仿宋_GB2312" w:hint="eastAsia"/>
          <w:color w:val="000000"/>
          <w:sz w:val="32"/>
          <w:szCs w:val="32"/>
        </w:rPr>
        <w:t>对于符合用地兼容性要求的，在编制片区控规或街区控规时，还可以提出土地混合使</w:t>
      </w:r>
      <w:r w:rsidRPr="007852A6">
        <w:rPr>
          <w:rFonts w:ascii="方正仿宋简体" w:eastAsia="方正仿宋简体" w:hAnsi="宋体" w:cs="仿宋_GB2312" w:hint="eastAsia"/>
          <w:sz w:val="32"/>
          <w:szCs w:val="32"/>
        </w:rPr>
        <w:t>用的要求。</w:t>
      </w:r>
      <w:r w:rsidR="00526524" w:rsidRPr="007852A6">
        <w:rPr>
          <w:rFonts w:ascii="方正仿宋简体" w:eastAsia="方正仿宋简体" w:hAnsi="宋体" w:cs="仿宋_GB2312" w:hint="eastAsia"/>
          <w:sz w:val="32"/>
          <w:szCs w:val="32"/>
        </w:rPr>
        <w:t>即用地性质表达为两种或两种</w:t>
      </w:r>
      <w:r w:rsidR="00526524" w:rsidRPr="007852A6">
        <w:rPr>
          <w:rFonts w:ascii="方正仿宋简体" w:eastAsia="方正仿宋简体" w:hAnsi="宋体" w:cs="仿宋_GB2312" w:hint="eastAsia"/>
          <w:sz w:val="32"/>
          <w:szCs w:val="32"/>
        </w:rPr>
        <w:lastRenderedPageBreak/>
        <w:t>以上用地性质混合。</w:t>
      </w:r>
    </w:p>
    <w:p w:rsidR="00DA44CC" w:rsidRDefault="00C53A1B" w:rsidP="00D43F73">
      <w:pPr>
        <w:adjustRightInd w:val="0"/>
        <w:snapToGrid w:val="0"/>
        <w:spacing w:line="580" w:lineRule="exact"/>
        <w:ind w:firstLineChars="200" w:firstLine="640"/>
        <w:rPr>
          <w:rFonts w:ascii="方正仿宋简体" w:eastAsia="方正仿宋简体" w:hAnsi="宋体" w:cs="仿宋_GB2312"/>
          <w:color w:val="000000"/>
          <w:sz w:val="32"/>
          <w:szCs w:val="32"/>
        </w:rPr>
      </w:pPr>
      <w:r w:rsidRPr="007852A6">
        <w:rPr>
          <w:rFonts w:ascii="方正仿宋简体" w:eastAsia="方正仿宋简体" w:hAnsi="宋体" w:cs="仿宋_GB2312" w:hint="eastAsia"/>
          <w:sz w:val="32"/>
          <w:szCs w:val="32"/>
        </w:rPr>
        <w:t>（1）按照功能用途互利、环境</w:t>
      </w:r>
      <w:r>
        <w:rPr>
          <w:rFonts w:ascii="方正仿宋简体" w:eastAsia="方正仿宋简体" w:hAnsi="宋体" w:cs="仿宋_GB2312" w:hint="eastAsia"/>
          <w:color w:val="000000"/>
          <w:sz w:val="32"/>
          <w:szCs w:val="32"/>
        </w:rPr>
        <w:t>要求相似且相互间没有不利影响的用地，宜混合设置。鼓励公共活动中心区、历史街区、客运交通枢纽地区、重要滨水区内的用地混合。</w:t>
      </w:r>
    </w:p>
    <w:p w:rsidR="00DA44CC" w:rsidRDefault="00C53A1B" w:rsidP="00D43F73">
      <w:pPr>
        <w:adjustRightInd w:val="0"/>
        <w:snapToGrid w:val="0"/>
        <w:spacing w:line="58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（2）土地混合使用时，若包含公共管理与公共服务设施、公用设施、道路与交通设施、绿地与广场等，必须优先保障其用途。</w:t>
      </w:r>
    </w:p>
    <w:p w:rsidR="00DA44CC" w:rsidRDefault="00C53A1B" w:rsidP="00D43F73">
      <w:pPr>
        <w:adjustRightInd w:val="0"/>
        <w:snapToGrid w:val="0"/>
        <w:spacing w:line="58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（3）土地混合使用中，片区控规中应明确规划用地具体布局，在街区控规中还应明确主导用途的比例，以避免功能混杂。商业用地主导用途的建筑面积不应低于总建筑面积的50%。</w:t>
      </w:r>
    </w:p>
    <w:p w:rsidR="00DA44CC" w:rsidRDefault="00DA44CC" w:rsidP="00D43F73">
      <w:pPr>
        <w:adjustRightInd w:val="0"/>
        <w:snapToGrid w:val="0"/>
        <w:spacing w:line="580" w:lineRule="exact"/>
        <w:ind w:firstLineChars="200" w:firstLine="640"/>
        <w:rPr>
          <w:rFonts w:ascii="方正仿宋简体" w:eastAsia="方正仿宋简体" w:hAnsi="宋体" w:cs="仿宋_GB2312"/>
          <w:color w:val="000000"/>
          <w:sz w:val="32"/>
          <w:szCs w:val="32"/>
        </w:rPr>
      </w:pPr>
    </w:p>
    <w:p w:rsidR="00DA44CC" w:rsidRDefault="00C53A1B" w:rsidP="00D43F73">
      <w:pPr>
        <w:adjustRightInd w:val="0"/>
        <w:snapToGrid w:val="0"/>
        <w:spacing w:line="58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第三章  开发强度规定</w:t>
      </w:r>
    </w:p>
    <w:p w:rsidR="00DA44CC" w:rsidRDefault="00DA44CC" w:rsidP="00D43F73">
      <w:pPr>
        <w:adjustRightInd w:val="0"/>
        <w:snapToGrid w:val="0"/>
        <w:spacing w:line="580" w:lineRule="exact"/>
        <w:jc w:val="center"/>
        <w:rPr>
          <w:rFonts w:ascii="方正黑体简体" w:eastAsia="方正黑体简体" w:hAnsi="宋体" w:cs="黑体"/>
          <w:color w:val="000000"/>
          <w:sz w:val="32"/>
          <w:szCs w:val="32"/>
        </w:rPr>
      </w:pPr>
    </w:p>
    <w:p w:rsidR="00DA44CC" w:rsidRDefault="00C53A1B" w:rsidP="00D43F73">
      <w:pPr>
        <w:adjustRightInd w:val="0"/>
        <w:snapToGrid w:val="0"/>
        <w:spacing w:line="58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第一节  一般规定</w:t>
      </w:r>
    </w:p>
    <w:p w:rsidR="00DA44CC" w:rsidRDefault="00C53A1B" w:rsidP="00D43F73">
      <w:pPr>
        <w:adjustRightInd w:val="0"/>
        <w:snapToGrid w:val="0"/>
        <w:spacing w:line="58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第十四条  基本要求</w:t>
      </w:r>
    </w:p>
    <w:p w:rsidR="00DA44CC" w:rsidRDefault="00C53A1B" w:rsidP="00D43F73">
      <w:pPr>
        <w:adjustRightInd w:val="0"/>
        <w:snapToGrid w:val="0"/>
        <w:spacing w:line="58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本通则的开发强度控制是济宁市中心城区片区控规控制体系的组成部分，是确定中心城区建设用地强度指标的基本依据。</w:t>
      </w:r>
    </w:p>
    <w:p w:rsidR="00DA44CC" w:rsidRDefault="00C53A1B" w:rsidP="00D43F73">
      <w:pPr>
        <w:adjustRightInd w:val="0"/>
        <w:snapToGrid w:val="0"/>
        <w:spacing w:line="58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济宁市中心城区街区控制性详细规划、城市设计、历史文化街区保护规划、生态保护、景观控制规划和“三旧”（旧城、旧村、旧厂）改造实施性规划等对用地建设强度有明确要求的，按其规划要求执行；法律、法规和相关规定有明确要求的，应符合</w:t>
      </w:r>
      <w:r>
        <w:rPr>
          <w:rFonts w:ascii="方正仿宋简体" w:eastAsia="方正仿宋简体" w:hAnsi="宋体" w:cs="仿宋_GB2312" w:hint="eastAsia"/>
          <w:color w:val="000000"/>
          <w:sz w:val="32"/>
          <w:szCs w:val="32"/>
        </w:rPr>
        <w:lastRenderedPageBreak/>
        <w:t>其要求。</w:t>
      </w:r>
    </w:p>
    <w:p w:rsidR="00DA44CC" w:rsidRDefault="00C53A1B">
      <w:pPr>
        <w:adjustRightInd w:val="0"/>
        <w:snapToGrid w:val="0"/>
        <w:spacing w:line="60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第二节  强度控制要求</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第十五条  总量平衡原则</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街区建设总量原则上不得突破。在确保不突破街区内同类用地建设总量的前提下，允许地块之间进行建设量平衡，地块容积率不得超过上限10%。</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若街区内无法平衡的，可纳入片区进行平衡，但应确保片区范围内的住宅建筑建设总量和总建筑面积不被突破。</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第十六条  居住和商业服务业设施容积率控制要求</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按照容积率调整系数适用区划图（详见附图一），对居住和商业服务业设施建设项目，应结合建设强度分区（详见附图三、四）、容积率调整系数表（详见表3-2）分别进行计算：</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（1）容积率调整系数适用范围内的居住用地，其额定容积</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率计算公式为：</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额定容积率=基准容积率×</w:t>
      </w:r>
      <w:r>
        <w:rPr>
          <w:rFonts w:ascii="方正仿宋简体" w:eastAsia="方正仿宋简体" w:hAnsi="宋体" w:cs="仿宋_GB2312" w:hint="eastAsia"/>
          <w:color w:val="000000"/>
          <w:sz w:val="32"/>
          <w:szCs w:val="32"/>
        </w:rPr>
        <w:t>µ</w:t>
      </w:r>
      <w:r>
        <w:rPr>
          <w:rFonts w:ascii="方正仿宋简体" w:eastAsia="方正仿宋简体" w:hAnsi="宋体" w:cs="仿宋_GB2312" w:hint="eastAsia"/>
          <w:color w:val="000000"/>
          <w:sz w:val="32"/>
          <w:szCs w:val="32"/>
        </w:rPr>
        <w:t>1×</w:t>
      </w:r>
      <w:r>
        <w:rPr>
          <w:rFonts w:ascii="方正仿宋简体" w:eastAsia="方正仿宋简体" w:hAnsi="宋体" w:cs="仿宋_GB2312" w:hint="eastAsia"/>
          <w:color w:val="000000"/>
          <w:sz w:val="32"/>
          <w:szCs w:val="32"/>
        </w:rPr>
        <w:t>µ</w:t>
      </w:r>
      <w:r>
        <w:rPr>
          <w:rFonts w:ascii="方正仿宋简体" w:eastAsia="方正仿宋简体" w:hAnsi="宋体" w:cs="仿宋_GB2312" w:hint="eastAsia"/>
          <w:color w:val="000000"/>
          <w:sz w:val="32"/>
          <w:szCs w:val="32"/>
        </w:rPr>
        <w:t>2</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（2）容积率调整系数适用范围内商业服务业用地，其额定</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容积率计算公式为：</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额定容积率=基准容积率×</w:t>
      </w:r>
      <w:r>
        <w:rPr>
          <w:rFonts w:ascii="方正仿宋简体" w:eastAsia="方正仿宋简体" w:hAnsi="宋体" w:cs="仿宋_GB2312" w:hint="eastAsia"/>
          <w:color w:val="000000"/>
          <w:sz w:val="32"/>
          <w:szCs w:val="32"/>
        </w:rPr>
        <w:t>µ</w:t>
      </w:r>
      <w:r>
        <w:rPr>
          <w:rFonts w:ascii="方正仿宋简体" w:eastAsia="方正仿宋简体" w:hAnsi="宋体" w:cs="仿宋_GB2312" w:hint="eastAsia"/>
          <w:color w:val="000000"/>
          <w:sz w:val="32"/>
          <w:szCs w:val="32"/>
        </w:rPr>
        <w:t>1</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（3）对于其他区域范围内的居住用地和商业服务业用地，</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其容积率计算公式为：</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额定容积率=基准容积率</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lastRenderedPageBreak/>
        <w:t>对于包含多种功能且能进行用地功能分区的混合用地项目，应按照各类用地性质分别计算相应额定容积率。</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对于包含多种功能但无法进行用地功能分区的混合用地项目，应结合各类功能的建筑面积比例按照以下公式测算额定容积率：</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额定容积率=1/（a1/ f1+ a2/ f2 +</w:t>
      </w:r>
      <w:r>
        <w:rPr>
          <w:rFonts w:ascii="宋体" w:hAnsi="宋体" w:cs="宋体" w:hint="eastAsia"/>
          <w:color w:val="000000"/>
          <w:sz w:val="32"/>
          <w:szCs w:val="32"/>
        </w:rPr>
        <w:t>•••</w:t>
      </w:r>
      <w:r>
        <w:rPr>
          <w:rFonts w:ascii="方正仿宋简体" w:eastAsia="方正仿宋简体" w:hAnsi="宋体" w:cs="仿宋_GB2312" w:hint="eastAsia"/>
          <w:color w:val="000000"/>
          <w:sz w:val="32"/>
          <w:szCs w:val="32"/>
        </w:rPr>
        <w:t>+ an/fn)</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注：式中fn为按照混合用地中某一类建筑所测算的地块额定容积率，an为该类建筑占总建筑面积的比例。</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基准容积率:是各类建设用地在该分区建设强度的初始值。详见表3-1</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额定容积率:是在基准容积率的基础上,综合考虑地块具体的建设情况进行修正后的数值。</w:t>
      </w:r>
    </w:p>
    <w:p w:rsidR="00DA44CC" w:rsidRDefault="00C53A1B">
      <w:pPr>
        <w:ind w:left="704"/>
        <w:jc w:val="center"/>
        <w:rPr>
          <w:rFonts w:ascii="黑体" w:eastAsia="黑体" w:hAnsi="黑体"/>
          <w:bCs/>
          <w:szCs w:val="22"/>
        </w:rPr>
      </w:pPr>
      <w:r>
        <w:rPr>
          <w:rFonts w:ascii="黑体" w:eastAsia="黑体" w:hAnsi="黑体" w:hint="eastAsia"/>
          <w:bCs/>
          <w:szCs w:val="22"/>
        </w:rPr>
        <w:t>表3-1 济宁市中心城区居住和商业服务业设施用地建设强度指标控制表</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428"/>
        <w:gridCol w:w="1484"/>
        <w:gridCol w:w="1220"/>
        <w:gridCol w:w="1357"/>
        <w:gridCol w:w="1294"/>
        <w:gridCol w:w="1364"/>
        <w:gridCol w:w="1355"/>
      </w:tblGrid>
      <w:tr w:rsidR="00DA44CC">
        <w:trPr>
          <w:trHeight w:val="20"/>
        </w:trPr>
        <w:tc>
          <w:tcPr>
            <w:tcW w:w="714" w:type="dxa"/>
            <w:tcBorders>
              <w:top w:val="single" w:sz="12" w:space="0" w:color="auto"/>
              <w:left w:val="single" w:sz="12" w:space="0" w:color="auto"/>
              <w:bottom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指标</w:t>
            </w:r>
          </w:p>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类型</w:t>
            </w:r>
          </w:p>
        </w:tc>
        <w:tc>
          <w:tcPr>
            <w:tcW w:w="1912" w:type="dxa"/>
            <w:gridSpan w:val="2"/>
            <w:tcBorders>
              <w:top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用地类型</w:t>
            </w:r>
          </w:p>
        </w:tc>
        <w:tc>
          <w:tcPr>
            <w:tcW w:w="1220" w:type="dxa"/>
            <w:tcBorders>
              <w:top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强度一区</w:t>
            </w:r>
          </w:p>
        </w:tc>
        <w:tc>
          <w:tcPr>
            <w:tcW w:w="1357" w:type="dxa"/>
            <w:tcBorders>
              <w:top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强度二区</w:t>
            </w:r>
          </w:p>
        </w:tc>
        <w:tc>
          <w:tcPr>
            <w:tcW w:w="1294" w:type="dxa"/>
            <w:tcBorders>
              <w:top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强度三区</w:t>
            </w:r>
          </w:p>
        </w:tc>
        <w:tc>
          <w:tcPr>
            <w:tcW w:w="1364" w:type="dxa"/>
            <w:tcBorders>
              <w:top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强度四区</w:t>
            </w:r>
          </w:p>
        </w:tc>
        <w:tc>
          <w:tcPr>
            <w:tcW w:w="1355" w:type="dxa"/>
            <w:tcBorders>
              <w:top w:val="single" w:sz="12" w:space="0" w:color="auto"/>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强度五区</w:t>
            </w:r>
          </w:p>
        </w:tc>
      </w:tr>
      <w:tr w:rsidR="00DA44CC" w:rsidTr="00B63AD6">
        <w:trPr>
          <w:trHeight w:val="343"/>
        </w:trPr>
        <w:tc>
          <w:tcPr>
            <w:tcW w:w="714" w:type="dxa"/>
            <w:vMerge w:val="restart"/>
            <w:tcBorders>
              <w:top w:val="single" w:sz="4" w:space="0" w:color="auto"/>
              <w:lef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居住用地</w:t>
            </w:r>
          </w:p>
        </w:tc>
        <w:tc>
          <w:tcPr>
            <w:tcW w:w="1912" w:type="dxa"/>
            <w:gridSpan w:val="2"/>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基准容积率</w:t>
            </w:r>
          </w:p>
        </w:tc>
        <w:tc>
          <w:tcPr>
            <w:tcW w:w="1220" w:type="dxa"/>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2.</w:t>
            </w:r>
            <w:r>
              <w:rPr>
                <w:rFonts w:ascii="Arial" w:eastAsia="黑体" w:hAnsi="Arial" w:cs="Arial"/>
                <w:sz w:val="18"/>
                <w:szCs w:val="18"/>
              </w:rPr>
              <w:t>5</w:t>
            </w:r>
          </w:p>
        </w:tc>
        <w:tc>
          <w:tcPr>
            <w:tcW w:w="1357" w:type="dxa"/>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sz w:val="18"/>
                <w:szCs w:val="18"/>
              </w:rPr>
              <w:t>2.1</w:t>
            </w:r>
          </w:p>
        </w:tc>
        <w:tc>
          <w:tcPr>
            <w:tcW w:w="1294" w:type="dxa"/>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sz w:val="18"/>
                <w:szCs w:val="18"/>
              </w:rPr>
              <w:t>1.8</w:t>
            </w:r>
          </w:p>
        </w:tc>
        <w:tc>
          <w:tcPr>
            <w:tcW w:w="1364" w:type="dxa"/>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sz w:val="18"/>
                <w:szCs w:val="18"/>
              </w:rPr>
              <w:t>1.5</w:t>
            </w:r>
          </w:p>
        </w:tc>
        <w:tc>
          <w:tcPr>
            <w:tcW w:w="1355" w:type="dxa"/>
            <w:tcBorders>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sz w:val="18"/>
                <w:szCs w:val="18"/>
              </w:rPr>
              <w:t>1.2</w:t>
            </w:r>
          </w:p>
        </w:tc>
      </w:tr>
      <w:tr w:rsidR="00DA44CC">
        <w:trPr>
          <w:trHeight w:val="373"/>
        </w:trPr>
        <w:tc>
          <w:tcPr>
            <w:tcW w:w="714" w:type="dxa"/>
            <w:vMerge/>
            <w:tcBorders>
              <w:left w:val="single" w:sz="12" w:space="0" w:color="auto"/>
            </w:tcBorders>
            <w:vAlign w:val="center"/>
          </w:tcPr>
          <w:p w:rsidR="00DA44CC" w:rsidRDefault="00DA44CC">
            <w:pPr>
              <w:adjustRightInd w:val="0"/>
              <w:snapToGrid w:val="0"/>
              <w:jc w:val="center"/>
              <w:rPr>
                <w:rFonts w:ascii="Arial" w:eastAsia="黑体" w:hAnsi="Arial" w:cs="Arial"/>
                <w:sz w:val="18"/>
                <w:szCs w:val="18"/>
              </w:rPr>
            </w:pPr>
          </w:p>
        </w:tc>
        <w:tc>
          <w:tcPr>
            <w:tcW w:w="428" w:type="dxa"/>
            <w:vMerge w:val="restart"/>
            <w:tcBorders>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建筑密度</w:t>
            </w:r>
          </w:p>
        </w:tc>
        <w:tc>
          <w:tcPr>
            <w:tcW w:w="1484" w:type="dxa"/>
            <w:tcBorders>
              <w:left w:val="single" w:sz="4" w:space="0" w:color="auto"/>
              <w:bottom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低多层≤</w:t>
            </w:r>
            <w:r>
              <w:rPr>
                <w:rFonts w:ascii="Arial" w:eastAsia="黑体" w:hAnsi="Arial" w:cs="Arial" w:hint="eastAsia"/>
                <w:sz w:val="18"/>
                <w:szCs w:val="18"/>
              </w:rPr>
              <w:t>6</w:t>
            </w:r>
            <w:r>
              <w:rPr>
                <w:rFonts w:ascii="Arial" w:eastAsia="黑体" w:hAnsi="Arial" w:cs="Arial" w:hint="eastAsia"/>
                <w:sz w:val="18"/>
                <w:szCs w:val="18"/>
              </w:rPr>
              <w:t>层</w:t>
            </w:r>
          </w:p>
        </w:tc>
        <w:tc>
          <w:tcPr>
            <w:tcW w:w="2577" w:type="dxa"/>
            <w:gridSpan w:val="2"/>
            <w:tcBorders>
              <w:bottom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w:t>
            </w:r>
          </w:p>
        </w:tc>
        <w:tc>
          <w:tcPr>
            <w:tcW w:w="4013" w:type="dxa"/>
            <w:gridSpan w:val="3"/>
            <w:tcBorders>
              <w:bottom w:val="single" w:sz="4" w:space="0" w:color="auto"/>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D</w:t>
            </w:r>
            <w:r>
              <w:rPr>
                <w:rFonts w:ascii="Arial" w:eastAsia="黑体" w:hAnsi="Arial" w:cs="Arial" w:hint="eastAsia"/>
                <w:sz w:val="18"/>
                <w:szCs w:val="18"/>
              </w:rPr>
              <w:t>≤</w:t>
            </w:r>
            <w:r>
              <w:rPr>
                <w:rFonts w:ascii="Arial" w:eastAsia="黑体" w:hAnsi="Arial" w:cs="Arial" w:hint="eastAsia"/>
                <w:sz w:val="18"/>
                <w:szCs w:val="18"/>
              </w:rPr>
              <w:t>28</w:t>
            </w:r>
            <w:r>
              <w:rPr>
                <w:rFonts w:ascii="Arial" w:eastAsia="黑体" w:hAnsi="Arial" w:cs="Arial" w:hint="eastAsia"/>
                <w:sz w:val="18"/>
                <w:szCs w:val="18"/>
              </w:rPr>
              <w:t>％</w:t>
            </w:r>
          </w:p>
        </w:tc>
      </w:tr>
      <w:tr w:rsidR="00DA44CC">
        <w:trPr>
          <w:trHeight w:val="448"/>
        </w:trPr>
        <w:tc>
          <w:tcPr>
            <w:tcW w:w="714" w:type="dxa"/>
            <w:vMerge/>
            <w:tcBorders>
              <w:left w:val="single" w:sz="12" w:space="0" w:color="auto"/>
            </w:tcBorders>
            <w:vAlign w:val="center"/>
          </w:tcPr>
          <w:p w:rsidR="00DA44CC" w:rsidRDefault="00DA44CC">
            <w:pPr>
              <w:adjustRightInd w:val="0"/>
              <w:snapToGrid w:val="0"/>
              <w:jc w:val="center"/>
              <w:rPr>
                <w:rFonts w:ascii="Arial" w:eastAsia="黑体" w:hAnsi="Arial" w:cs="Arial"/>
                <w:sz w:val="18"/>
                <w:szCs w:val="18"/>
              </w:rPr>
            </w:pPr>
          </w:p>
        </w:tc>
        <w:tc>
          <w:tcPr>
            <w:tcW w:w="428" w:type="dxa"/>
            <w:vMerge/>
            <w:tcBorders>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1484" w:type="dxa"/>
            <w:tcBorders>
              <w:top w:val="single" w:sz="4" w:space="0" w:color="auto"/>
              <w:lef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中高层</w:t>
            </w:r>
            <w:r>
              <w:rPr>
                <w:rFonts w:ascii="Arial" w:eastAsia="黑体" w:hAnsi="Arial" w:cs="Arial" w:hint="eastAsia"/>
                <w:sz w:val="18"/>
                <w:szCs w:val="18"/>
              </w:rPr>
              <w:t>&lt;11</w:t>
            </w:r>
            <w:r>
              <w:rPr>
                <w:rFonts w:ascii="Arial" w:eastAsia="黑体" w:hAnsi="Arial" w:cs="Arial" w:hint="eastAsia"/>
                <w:sz w:val="18"/>
                <w:szCs w:val="18"/>
              </w:rPr>
              <w:t>层</w:t>
            </w:r>
          </w:p>
        </w:tc>
        <w:tc>
          <w:tcPr>
            <w:tcW w:w="2577" w:type="dxa"/>
            <w:gridSpan w:val="2"/>
            <w:tcBorders>
              <w:top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D</w:t>
            </w:r>
            <w:r>
              <w:rPr>
                <w:rFonts w:ascii="Arial" w:eastAsia="黑体" w:hAnsi="Arial" w:cs="Arial" w:hint="eastAsia"/>
                <w:sz w:val="18"/>
                <w:szCs w:val="18"/>
              </w:rPr>
              <w:t>≤</w:t>
            </w:r>
            <w:r>
              <w:rPr>
                <w:rFonts w:ascii="Arial" w:eastAsia="黑体" w:hAnsi="Arial" w:cs="Arial" w:hint="eastAsia"/>
                <w:sz w:val="18"/>
                <w:szCs w:val="18"/>
              </w:rPr>
              <w:t>2</w:t>
            </w:r>
            <w:r>
              <w:rPr>
                <w:rFonts w:ascii="Arial" w:eastAsia="黑体" w:hAnsi="Arial" w:cs="Arial"/>
                <w:sz w:val="18"/>
                <w:szCs w:val="18"/>
              </w:rPr>
              <w:t>5</w:t>
            </w:r>
            <w:r>
              <w:rPr>
                <w:rFonts w:ascii="Arial" w:eastAsia="黑体" w:hAnsi="Arial" w:cs="Arial" w:hint="eastAsia"/>
                <w:sz w:val="18"/>
                <w:szCs w:val="18"/>
              </w:rPr>
              <w:t>％</w:t>
            </w:r>
          </w:p>
        </w:tc>
        <w:tc>
          <w:tcPr>
            <w:tcW w:w="4013" w:type="dxa"/>
            <w:gridSpan w:val="3"/>
            <w:tcBorders>
              <w:top w:val="single" w:sz="4" w:space="0" w:color="auto"/>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D</w:t>
            </w:r>
            <w:r>
              <w:rPr>
                <w:rFonts w:ascii="Arial" w:eastAsia="黑体" w:hAnsi="Arial" w:cs="Arial" w:hint="eastAsia"/>
                <w:sz w:val="18"/>
                <w:szCs w:val="18"/>
              </w:rPr>
              <w:t>≤</w:t>
            </w:r>
            <w:r>
              <w:rPr>
                <w:rFonts w:ascii="Arial" w:eastAsia="黑体" w:hAnsi="Arial" w:cs="Arial" w:hint="eastAsia"/>
                <w:sz w:val="18"/>
                <w:szCs w:val="18"/>
              </w:rPr>
              <w:t>20</w:t>
            </w:r>
            <w:r>
              <w:rPr>
                <w:rFonts w:ascii="Arial" w:eastAsia="黑体" w:hAnsi="Arial" w:cs="Arial" w:hint="eastAsia"/>
                <w:sz w:val="18"/>
                <w:szCs w:val="18"/>
              </w:rPr>
              <w:t>％</w:t>
            </w:r>
          </w:p>
        </w:tc>
      </w:tr>
      <w:tr w:rsidR="00DA44CC" w:rsidTr="00D43F73">
        <w:trPr>
          <w:trHeight w:val="339"/>
        </w:trPr>
        <w:tc>
          <w:tcPr>
            <w:tcW w:w="714" w:type="dxa"/>
            <w:vMerge/>
            <w:tcBorders>
              <w:left w:val="single" w:sz="12" w:space="0" w:color="auto"/>
              <w:bottom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428" w:type="dxa"/>
            <w:vMerge/>
            <w:tcBorders>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1484" w:type="dxa"/>
            <w:tcBorders>
              <w:lef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高层≥</w:t>
            </w:r>
            <w:r>
              <w:rPr>
                <w:rFonts w:ascii="Arial" w:eastAsia="黑体" w:hAnsi="Arial" w:cs="Arial" w:hint="eastAsia"/>
                <w:sz w:val="18"/>
                <w:szCs w:val="18"/>
              </w:rPr>
              <w:t>1</w:t>
            </w:r>
            <w:r>
              <w:rPr>
                <w:rFonts w:ascii="Arial" w:eastAsia="黑体" w:hAnsi="Arial" w:cs="Arial"/>
                <w:sz w:val="18"/>
                <w:szCs w:val="18"/>
              </w:rPr>
              <w:t>1</w:t>
            </w:r>
            <w:r>
              <w:rPr>
                <w:rFonts w:ascii="Arial" w:eastAsia="黑体" w:hAnsi="Arial" w:cs="Arial" w:hint="eastAsia"/>
                <w:sz w:val="18"/>
                <w:szCs w:val="18"/>
              </w:rPr>
              <w:t>层</w:t>
            </w:r>
          </w:p>
        </w:tc>
        <w:tc>
          <w:tcPr>
            <w:tcW w:w="6590" w:type="dxa"/>
            <w:gridSpan w:val="5"/>
            <w:tcBorders>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D</w:t>
            </w:r>
            <w:r>
              <w:rPr>
                <w:rFonts w:ascii="Arial" w:eastAsia="黑体" w:hAnsi="Arial" w:cs="Arial" w:hint="eastAsia"/>
                <w:sz w:val="18"/>
                <w:szCs w:val="18"/>
              </w:rPr>
              <w:t>≤</w:t>
            </w:r>
            <w:r>
              <w:rPr>
                <w:rFonts w:ascii="Arial" w:eastAsia="黑体" w:hAnsi="Arial" w:cs="Arial" w:hint="eastAsia"/>
                <w:sz w:val="18"/>
                <w:szCs w:val="18"/>
              </w:rPr>
              <w:t>20</w:t>
            </w:r>
            <w:r>
              <w:rPr>
                <w:rFonts w:ascii="Arial" w:eastAsia="黑体" w:hAnsi="Arial" w:cs="Arial" w:hint="eastAsia"/>
                <w:sz w:val="18"/>
                <w:szCs w:val="18"/>
              </w:rPr>
              <w:t>％</w:t>
            </w:r>
          </w:p>
        </w:tc>
      </w:tr>
      <w:tr w:rsidR="00DA44CC" w:rsidTr="00B63AD6">
        <w:trPr>
          <w:trHeight w:val="351"/>
        </w:trPr>
        <w:tc>
          <w:tcPr>
            <w:tcW w:w="714" w:type="dxa"/>
            <w:vMerge w:val="restart"/>
            <w:tcBorders>
              <w:lef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商业服务业用地</w:t>
            </w:r>
          </w:p>
        </w:tc>
        <w:tc>
          <w:tcPr>
            <w:tcW w:w="1912" w:type="dxa"/>
            <w:gridSpan w:val="2"/>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基准容积率</w:t>
            </w:r>
          </w:p>
        </w:tc>
        <w:tc>
          <w:tcPr>
            <w:tcW w:w="1220" w:type="dxa"/>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3.2</w:t>
            </w:r>
          </w:p>
        </w:tc>
        <w:tc>
          <w:tcPr>
            <w:tcW w:w="1357" w:type="dxa"/>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2.8</w:t>
            </w:r>
          </w:p>
        </w:tc>
        <w:tc>
          <w:tcPr>
            <w:tcW w:w="1294" w:type="dxa"/>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2.</w:t>
            </w:r>
            <w:r>
              <w:rPr>
                <w:rFonts w:ascii="Arial" w:eastAsia="黑体" w:hAnsi="Arial" w:cs="Arial"/>
                <w:sz w:val="18"/>
                <w:szCs w:val="18"/>
              </w:rPr>
              <w:t>4</w:t>
            </w:r>
          </w:p>
        </w:tc>
        <w:tc>
          <w:tcPr>
            <w:tcW w:w="1364" w:type="dxa"/>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2.</w:t>
            </w:r>
            <w:r>
              <w:rPr>
                <w:rFonts w:ascii="Arial" w:eastAsia="黑体" w:hAnsi="Arial" w:cs="Arial"/>
                <w:sz w:val="18"/>
                <w:szCs w:val="18"/>
              </w:rPr>
              <w:t>0</w:t>
            </w:r>
          </w:p>
        </w:tc>
        <w:tc>
          <w:tcPr>
            <w:tcW w:w="1355" w:type="dxa"/>
            <w:tcBorders>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1.</w:t>
            </w:r>
            <w:r>
              <w:rPr>
                <w:rFonts w:ascii="Arial" w:eastAsia="黑体" w:hAnsi="Arial" w:cs="Arial"/>
                <w:sz w:val="18"/>
                <w:szCs w:val="18"/>
              </w:rPr>
              <w:t>6</w:t>
            </w:r>
          </w:p>
        </w:tc>
      </w:tr>
      <w:tr w:rsidR="00DA44CC" w:rsidTr="00D43F73">
        <w:trPr>
          <w:trHeight w:val="576"/>
        </w:trPr>
        <w:tc>
          <w:tcPr>
            <w:tcW w:w="714" w:type="dxa"/>
            <w:vMerge/>
            <w:tcBorders>
              <w:left w:val="single" w:sz="12" w:space="0" w:color="auto"/>
            </w:tcBorders>
            <w:vAlign w:val="center"/>
          </w:tcPr>
          <w:p w:rsidR="00DA44CC" w:rsidRDefault="00DA44CC">
            <w:pPr>
              <w:adjustRightInd w:val="0"/>
              <w:snapToGrid w:val="0"/>
              <w:jc w:val="center"/>
              <w:rPr>
                <w:rFonts w:ascii="Arial" w:eastAsia="黑体" w:hAnsi="Arial" w:cs="Arial"/>
                <w:sz w:val="18"/>
                <w:szCs w:val="18"/>
              </w:rPr>
            </w:pPr>
          </w:p>
        </w:tc>
        <w:tc>
          <w:tcPr>
            <w:tcW w:w="428" w:type="dxa"/>
            <w:vMerge w:val="restart"/>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建筑密度</w:t>
            </w:r>
          </w:p>
        </w:tc>
        <w:tc>
          <w:tcPr>
            <w:tcW w:w="1484" w:type="dxa"/>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低多层</w:t>
            </w:r>
          </w:p>
        </w:tc>
        <w:tc>
          <w:tcPr>
            <w:tcW w:w="2577" w:type="dxa"/>
            <w:gridSpan w:val="2"/>
            <w:vAlign w:val="center"/>
          </w:tcPr>
          <w:p w:rsidR="00DA44CC" w:rsidRDefault="00C53A1B">
            <w:pPr>
              <w:adjustRightInd w:val="0"/>
              <w:snapToGrid w:val="0"/>
              <w:rPr>
                <w:rFonts w:ascii="Arial" w:eastAsia="黑体" w:hAnsi="Arial" w:cs="Arial"/>
                <w:sz w:val="18"/>
                <w:szCs w:val="18"/>
              </w:rPr>
            </w:pPr>
            <w:r>
              <w:rPr>
                <w:rFonts w:ascii="Arial" w:eastAsia="黑体" w:hAnsi="Arial" w:cs="Arial" w:hint="eastAsia"/>
                <w:sz w:val="18"/>
                <w:szCs w:val="18"/>
              </w:rPr>
              <w:t>零售商业、批发、餐饮</w:t>
            </w:r>
            <w:r>
              <w:rPr>
                <w:rFonts w:ascii="Arial" w:eastAsia="黑体" w:hAnsi="Arial" w:cs="Arial" w:hint="eastAsia"/>
                <w:sz w:val="18"/>
                <w:szCs w:val="18"/>
              </w:rPr>
              <w:t>D</w:t>
            </w:r>
            <w:r>
              <w:rPr>
                <w:rFonts w:ascii="Arial" w:eastAsia="黑体" w:hAnsi="Arial" w:cs="Arial" w:hint="eastAsia"/>
                <w:sz w:val="18"/>
                <w:szCs w:val="18"/>
              </w:rPr>
              <w:t>≤</w:t>
            </w:r>
            <w:r>
              <w:rPr>
                <w:rFonts w:ascii="Arial" w:eastAsia="黑体" w:hAnsi="Arial" w:cs="Arial" w:hint="eastAsia"/>
                <w:sz w:val="18"/>
                <w:szCs w:val="18"/>
              </w:rPr>
              <w:t>45</w:t>
            </w:r>
            <w:r>
              <w:rPr>
                <w:rFonts w:ascii="Arial" w:eastAsia="黑体" w:hAnsi="Arial" w:cs="Arial" w:hint="eastAsia"/>
                <w:sz w:val="18"/>
                <w:szCs w:val="18"/>
              </w:rPr>
              <w:t>％；旅馆、商务</w:t>
            </w:r>
            <w:r>
              <w:rPr>
                <w:rFonts w:ascii="Arial" w:eastAsia="黑体" w:hAnsi="Arial" w:cs="Arial" w:hint="eastAsia"/>
                <w:sz w:val="18"/>
                <w:szCs w:val="18"/>
              </w:rPr>
              <w:t>D</w:t>
            </w:r>
            <w:r>
              <w:rPr>
                <w:rFonts w:ascii="Arial" w:eastAsia="黑体" w:hAnsi="Arial" w:cs="Arial" w:hint="eastAsia"/>
                <w:sz w:val="18"/>
                <w:szCs w:val="18"/>
              </w:rPr>
              <w:t>≤</w:t>
            </w:r>
            <w:r>
              <w:rPr>
                <w:rFonts w:ascii="Arial" w:eastAsia="黑体" w:hAnsi="Arial" w:cs="Arial" w:hint="eastAsia"/>
                <w:sz w:val="18"/>
                <w:szCs w:val="18"/>
              </w:rPr>
              <w:t>35</w:t>
            </w:r>
            <w:r>
              <w:rPr>
                <w:rFonts w:ascii="Arial" w:eastAsia="黑体" w:hAnsi="Arial" w:cs="Arial" w:hint="eastAsia"/>
                <w:sz w:val="18"/>
                <w:szCs w:val="18"/>
              </w:rPr>
              <w:t>％</w:t>
            </w:r>
          </w:p>
        </w:tc>
        <w:tc>
          <w:tcPr>
            <w:tcW w:w="4013" w:type="dxa"/>
            <w:gridSpan w:val="3"/>
            <w:tcBorders>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D</w:t>
            </w:r>
            <w:r>
              <w:rPr>
                <w:rFonts w:ascii="Arial" w:eastAsia="黑体" w:hAnsi="Arial" w:cs="Arial" w:hint="eastAsia"/>
                <w:sz w:val="18"/>
                <w:szCs w:val="18"/>
              </w:rPr>
              <w:t>≤</w:t>
            </w:r>
            <w:r>
              <w:rPr>
                <w:rFonts w:ascii="Arial" w:eastAsia="黑体" w:hAnsi="Arial" w:cs="Arial" w:hint="eastAsia"/>
                <w:sz w:val="18"/>
                <w:szCs w:val="18"/>
              </w:rPr>
              <w:t>40</w:t>
            </w:r>
            <w:r>
              <w:rPr>
                <w:rFonts w:ascii="Arial" w:eastAsia="黑体" w:hAnsi="Arial" w:cs="Arial" w:hint="eastAsia"/>
                <w:sz w:val="18"/>
                <w:szCs w:val="18"/>
              </w:rPr>
              <w:t>％</w:t>
            </w:r>
          </w:p>
        </w:tc>
      </w:tr>
      <w:tr w:rsidR="00DA44CC">
        <w:trPr>
          <w:trHeight w:val="776"/>
        </w:trPr>
        <w:tc>
          <w:tcPr>
            <w:tcW w:w="714" w:type="dxa"/>
            <w:vMerge/>
            <w:tcBorders>
              <w:left w:val="single" w:sz="12" w:space="0" w:color="auto"/>
            </w:tcBorders>
            <w:vAlign w:val="center"/>
          </w:tcPr>
          <w:p w:rsidR="00DA44CC" w:rsidRDefault="00DA44CC">
            <w:pPr>
              <w:adjustRightInd w:val="0"/>
              <w:snapToGrid w:val="0"/>
              <w:jc w:val="center"/>
              <w:rPr>
                <w:rFonts w:ascii="Arial" w:eastAsia="黑体" w:hAnsi="Arial" w:cs="Arial"/>
                <w:sz w:val="18"/>
                <w:szCs w:val="18"/>
              </w:rPr>
            </w:pPr>
          </w:p>
        </w:tc>
        <w:tc>
          <w:tcPr>
            <w:tcW w:w="428" w:type="dxa"/>
            <w:vMerge/>
            <w:vAlign w:val="center"/>
          </w:tcPr>
          <w:p w:rsidR="00DA44CC" w:rsidRDefault="00DA44CC">
            <w:pPr>
              <w:adjustRightInd w:val="0"/>
              <w:snapToGrid w:val="0"/>
              <w:jc w:val="center"/>
              <w:rPr>
                <w:rFonts w:ascii="Arial" w:eastAsia="黑体" w:hAnsi="Arial" w:cs="Arial"/>
                <w:sz w:val="18"/>
                <w:szCs w:val="18"/>
              </w:rPr>
            </w:pPr>
          </w:p>
        </w:tc>
        <w:tc>
          <w:tcPr>
            <w:tcW w:w="1484" w:type="dxa"/>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高层</w:t>
            </w:r>
          </w:p>
        </w:tc>
        <w:tc>
          <w:tcPr>
            <w:tcW w:w="2577" w:type="dxa"/>
            <w:gridSpan w:val="2"/>
            <w:tcBorders>
              <w:right w:val="single" w:sz="4" w:space="0" w:color="auto"/>
            </w:tcBorders>
            <w:vAlign w:val="center"/>
          </w:tcPr>
          <w:p w:rsidR="00DA44CC" w:rsidRDefault="00C53A1B">
            <w:pPr>
              <w:adjustRightInd w:val="0"/>
              <w:snapToGrid w:val="0"/>
              <w:ind w:firstLineChars="250" w:firstLine="450"/>
              <w:jc w:val="center"/>
              <w:rPr>
                <w:rFonts w:ascii="Arial" w:eastAsia="黑体" w:hAnsi="Arial" w:cs="Arial"/>
                <w:sz w:val="18"/>
                <w:szCs w:val="18"/>
              </w:rPr>
            </w:pPr>
            <w:r>
              <w:rPr>
                <w:rFonts w:ascii="Arial" w:eastAsia="黑体" w:hAnsi="Arial" w:cs="Arial" w:hint="eastAsia"/>
                <w:sz w:val="18"/>
                <w:szCs w:val="18"/>
              </w:rPr>
              <w:t>D</w:t>
            </w:r>
            <w:r>
              <w:rPr>
                <w:rFonts w:ascii="Arial" w:eastAsia="黑体" w:hAnsi="Arial" w:cs="Arial" w:hint="eastAsia"/>
                <w:sz w:val="18"/>
                <w:szCs w:val="18"/>
              </w:rPr>
              <w:t>≤</w:t>
            </w:r>
            <w:r>
              <w:rPr>
                <w:rFonts w:ascii="Arial" w:eastAsia="黑体" w:hAnsi="Arial" w:cs="Arial" w:hint="eastAsia"/>
                <w:sz w:val="18"/>
                <w:szCs w:val="18"/>
              </w:rPr>
              <w:t>35</w:t>
            </w:r>
            <w:r>
              <w:rPr>
                <w:rFonts w:ascii="Arial" w:eastAsia="黑体" w:hAnsi="Arial" w:cs="Arial" w:hint="eastAsia"/>
                <w:sz w:val="18"/>
                <w:szCs w:val="18"/>
              </w:rPr>
              <w:t>％</w:t>
            </w:r>
          </w:p>
        </w:tc>
        <w:tc>
          <w:tcPr>
            <w:tcW w:w="4013" w:type="dxa"/>
            <w:gridSpan w:val="3"/>
            <w:tcBorders>
              <w:left w:val="single" w:sz="4" w:space="0" w:color="auto"/>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D</w:t>
            </w:r>
            <w:r>
              <w:rPr>
                <w:rFonts w:ascii="Arial" w:eastAsia="黑体" w:hAnsi="Arial" w:cs="Arial" w:hint="eastAsia"/>
                <w:sz w:val="18"/>
                <w:szCs w:val="18"/>
              </w:rPr>
              <w:t>≤</w:t>
            </w:r>
            <w:r>
              <w:rPr>
                <w:rFonts w:ascii="Arial" w:eastAsia="黑体" w:hAnsi="Arial" w:cs="Arial" w:hint="eastAsia"/>
                <w:sz w:val="18"/>
                <w:szCs w:val="18"/>
              </w:rPr>
              <w:t>40</w:t>
            </w:r>
            <w:r>
              <w:rPr>
                <w:rFonts w:ascii="Arial" w:eastAsia="黑体" w:hAnsi="Arial" w:cs="Arial" w:hint="eastAsia"/>
                <w:sz w:val="18"/>
                <w:szCs w:val="18"/>
              </w:rPr>
              <w:t>％</w:t>
            </w:r>
          </w:p>
        </w:tc>
      </w:tr>
      <w:tr w:rsidR="00DA44CC">
        <w:trPr>
          <w:trHeight w:val="20"/>
        </w:trPr>
        <w:tc>
          <w:tcPr>
            <w:tcW w:w="9216" w:type="dxa"/>
            <w:gridSpan w:val="8"/>
            <w:tcBorders>
              <w:left w:val="single" w:sz="12" w:space="0" w:color="auto"/>
              <w:bottom w:val="single" w:sz="12" w:space="0" w:color="auto"/>
              <w:right w:val="single" w:sz="12" w:space="0" w:color="auto"/>
            </w:tcBorders>
            <w:vAlign w:val="center"/>
          </w:tcPr>
          <w:p w:rsidR="00DA44CC" w:rsidRDefault="00C53A1B">
            <w:pPr>
              <w:adjustRightInd w:val="0"/>
              <w:snapToGrid w:val="0"/>
              <w:jc w:val="left"/>
              <w:rPr>
                <w:rFonts w:ascii="Arial" w:eastAsia="黑体" w:hAnsi="Arial" w:cs="Arial"/>
                <w:sz w:val="18"/>
                <w:szCs w:val="18"/>
              </w:rPr>
            </w:pPr>
            <w:r>
              <w:rPr>
                <w:rFonts w:ascii="Arial" w:eastAsia="黑体" w:hAnsi="Arial" w:cs="Arial" w:hint="eastAsia"/>
                <w:sz w:val="18"/>
                <w:szCs w:val="18"/>
              </w:rPr>
              <w:t>注：</w:t>
            </w:r>
            <w:r>
              <w:rPr>
                <w:rFonts w:ascii="Arial" w:eastAsia="黑体" w:hAnsi="Arial" w:cs="Arial"/>
                <w:sz w:val="18"/>
                <w:szCs w:val="18"/>
              </w:rPr>
              <w:t>1</w:t>
            </w:r>
            <w:r>
              <w:rPr>
                <w:rFonts w:ascii="Arial" w:eastAsia="黑体" w:hAnsi="Arial" w:cs="Arial" w:hint="eastAsia"/>
                <w:sz w:val="18"/>
                <w:szCs w:val="18"/>
              </w:rPr>
              <w:t>、地块额定容积率应结合用地建设条件对基准容积率进行系数调节后予以确定。</w:t>
            </w:r>
          </w:p>
          <w:p w:rsidR="00DA44CC" w:rsidRDefault="00C53A1B">
            <w:pPr>
              <w:adjustRightInd w:val="0"/>
              <w:snapToGrid w:val="0"/>
              <w:ind w:firstLineChars="200" w:firstLine="360"/>
              <w:jc w:val="left"/>
              <w:rPr>
                <w:rFonts w:ascii="Arial" w:eastAsia="黑体" w:hAnsi="Arial" w:cs="Arial"/>
                <w:sz w:val="18"/>
                <w:szCs w:val="18"/>
              </w:rPr>
            </w:pPr>
            <w:r>
              <w:rPr>
                <w:rFonts w:ascii="Arial" w:eastAsia="黑体" w:hAnsi="Arial" w:cs="Arial" w:hint="eastAsia"/>
                <w:sz w:val="18"/>
                <w:szCs w:val="18"/>
              </w:rPr>
              <w:t>2</w:t>
            </w:r>
            <w:r>
              <w:rPr>
                <w:rFonts w:ascii="Arial" w:eastAsia="黑体" w:hAnsi="Arial" w:cs="Arial" w:hint="eastAsia"/>
                <w:sz w:val="18"/>
                <w:szCs w:val="18"/>
              </w:rPr>
              <w:t>、居住用地容积率不得低于</w:t>
            </w:r>
            <w:r>
              <w:rPr>
                <w:rFonts w:ascii="Arial" w:eastAsia="黑体" w:hAnsi="Arial" w:cs="Arial"/>
                <w:sz w:val="18"/>
                <w:szCs w:val="18"/>
              </w:rPr>
              <w:t>1.0</w:t>
            </w:r>
            <w:r>
              <w:rPr>
                <w:rFonts w:ascii="Arial" w:eastAsia="黑体" w:hAnsi="Arial" w:cs="Arial" w:hint="eastAsia"/>
                <w:sz w:val="18"/>
                <w:szCs w:val="18"/>
              </w:rPr>
              <w:t>。</w:t>
            </w:r>
          </w:p>
          <w:p w:rsidR="00DA44CC" w:rsidRDefault="00C53A1B">
            <w:pPr>
              <w:adjustRightInd w:val="0"/>
              <w:snapToGrid w:val="0"/>
              <w:ind w:firstLineChars="200" w:firstLine="360"/>
              <w:jc w:val="left"/>
              <w:rPr>
                <w:rFonts w:ascii="Arial" w:eastAsia="黑体" w:hAnsi="Arial" w:cs="Arial"/>
                <w:sz w:val="18"/>
                <w:szCs w:val="18"/>
              </w:rPr>
            </w:pPr>
            <w:r>
              <w:rPr>
                <w:rFonts w:ascii="Arial" w:eastAsia="黑体" w:hAnsi="Arial" w:cs="Arial" w:hint="eastAsia"/>
                <w:sz w:val="18"/>
                <w:szCs w:val="18"/>
              </w:rPr>
              <w:t>3</w:t>
            </w:r>
            <w:r>
              <w:rPr>
                <w:rFonts w:ascii="Arial" w:eastAsia="黑体" w:hAnsi="Arial" w:cs="Arial" w:hint="eastAsia"/>
                <w:sz w:val="18"/>
                <w:szCs w:val="18"/>
              </w:rPr>
              <w:t>、各类用地建设强度指标除满足上表规定外，还需满足《山东省建设用地控制标准》（</w:t>
            </w:r>
            <w:r>
              <w:rPr>
                <w:rFonts w:ascii="Arial" w:eastAsia="黑体" w:hAnsi="Arial" w:cs="Arial" w:hint="eastAsia"/>
                <w:sz w:val="18"/>
                <w:szCs w:val="18"/>
              </w:rPr>
              <w:t>2019</w:t>
            </w:r>
            <w:r>
              <w:rPr>
                <w:rFonts w:ascii="Arial" w:eastAsia="黑体" w:hAnsi="Arial" w:cs="Arial" w:hint="eastAsia"/>
                <w:sz w:val="18"/>
                <w:szCs w:val="18"/>
              </w:rPr>
              <w:t>年版）相关规定。</w:t>
            </w:r>
          </w:p>
          <w:p w:rsidR="00DA44CC" w:rsidRDefault="00C53A1B">
            <w:pPr>
              <w:adjustRightInd w:val="0"/>
              <w:snapToGrid w:val="0"/>
              <w:ind w:firstLineChars="200" w:firstLine="360"/>
              <w:jc w:val="left"/>
              <w:rPr>
                <w:rFonts w:ascii="Arial" w:eastAsia="黑体" w:hAnsi="Arial" w:cs="Arial"/>
                <w:sz w:val="18"/>
                <w:szCs w:val="18"/>
              </w:rPr>
            </w:pPr>
            <w:r>
              <w:rPr>
                <w:rFonts w:ascii="Arial" w:eastAsia="黑体" w:hAnsi="Arial" w:cs="Arial" w:hint="eastAsia"/>
                <w:sz w:val="18"/>
                <w:szCs w:val="18"/>
              </w:rPr>
              <w:t>4</w:t>
            </w:r>
            <w:r>
              <w:rPr>
                <w:rFonts w:ascii="Arial" w:eastAsia="黑体" w:hAnsi="Arial" w:cs="Arial" w:hint="eastAsia"/>
                <w:sz w:val="18"/>
                <w:szCs w:val="18"/>
              </w:rPr>
              <w:t>、各类建设用地容积率不得超过国家、省、市相关规定的最大容积率。</w:t>
            </w:r>
          </w:p>
        </w:tc>
      </w:tr>
    </w:tbl>
    <w:p w:rsidR="00DA44CC" w:rsidRDefault="00DA44CC">
      <w:pPr>
        <w:ind w:left="704"/>
        <w:jc w:val="center"/>
        <w:rPr>
          <w:rFonts w:ascii="黑体" w:eastAsia="黑体" w:hAnsi="黑体"/>
          <w:bCs/>
          <w:szCs w:val="22"/>
        </w:rPr>
      </w:pPr>
    </w:p>
    <w:p w:rsidR="00DA44CC" w:rsidRDefault="00C53A1B">
      <w:pPr>
        <w:spacing w:line="360" w:lineRule="auto"/>
        <w:ind w:left="704"/>
        <w:jc w:val="center"/>
      </w:pPr>
      <w:r>
        <w:rPr>
          <w:rFonts w:ascii="黑体" w:eastAsia="黑体" w:hAnsi="黑体" w:hint="eastAsia"/>
          <w:bCs/>
          <w:szCs w:val="22"/>
        </w:rPr>
        <w:t>表3-2 济宁市中心城区居住和商业服务业设施用地基准容积率调整系数表</w:t>
      </w:r>
    </w:p>
    <w:tbl>
      <w:tblPr>
        <w:tblW w:w="9216" w:type="dxa"/>
        <w:tblLayout w:type="fixed"/>
        <w:tblLook w:val="04A0" w:firstRow="1" w:lastRow="0" w:firstColumn="1" w:lastColumn="0" w:noHBand="0" w:noVBand="1"/>
      </w:tblPr>
      <w:tblGrid>
        <w:gridCol w:w="1242"/>
        <w:gridCol w:w="1397"/>
        <w:gridCol w:w="4951"/>
        <w:gridCol w:w="1626"/>
      </w:tblGrid>
      <w:tr w:rsidR="00DA44CC">
        <w:trPr>
          <w:trHeight w:val="20"/>
        </w:trPr>
        <w:tc>
          <w:tcPr>
            <w:tcW w:w="1242" w:type="dxa"/>
            <w:vMerge w:val="restart"/>
            <w:tcBorders>
              <w:top w:val="single" w:sz="12" w:space="0" w:color="auto"/>
              <w:left w:val="single" w:sz="12" w:space="0" w:color="auto"/>
              <w:bottom w:val="single" w:sz="4" w:space="0" w:color="000000"/>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交通区位调节系数（</w:t>
            </w:r>
            <w:r>
              <w:rPr>
                <w:rFonts w:ascii="Arial" w:eastAsia="黑体" w:hAnsi="Arial" w:cs="Arial"/>
                <w:sz w:val="18"/>
                <w:szCs w:val="18"/>
              </w:rPr>
              <w:t>µ</w:t>
            </w:r>
            <w:r>
              <w:rPr>
                <w:rFonts w:ascii="Arial" w:eastAsia="黑体" w:hAnsi="Arial" w:cs="Arial" w:hint="eastAsia"/>
                <w:sz w:val="18"/>
                <w:szCs w:val="18"/>
              </w:rPr>
              <w:t>1</w:t>
            </w:r>
            <w:r>
              <w:rPr>
                <w:rFonts w:ascii="Arial" w:eastAsia="黑体" w:hAnsi="Arial" w:cs="Arial" w:hint="eastAsia"/>
                <w:sz w:val="18"/>
                <w:szCs w:val="18"/>
              </w:rPr>
              <w:t>）</w:t>
            </w:r>
          </w:p>
        </w:tc>
        <w:tc>
          <w:tcPr>
            <w:tcW w:w="1397" w:type="dxa"/>
            <w:vMerge w:val="restart"/>
            <w:tcBorders>
              <w:top w:val="single" w:sz="12"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居住用地</w:t>
            </w:r>
          </w:p>
        </w:tc>
        <w:tc>
          <w:tcPr>
            <w:tcW w:w="4951" w:type="dxa"/>
            <w:tcBorders>
              <w:top w:val="single" w:sz="12" w:space="0" w:color="auto"/>
              <w:left w:val="nil"/>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N</w:t>
            </w:r>
            <w:r>
              <w:rPr>
                <w:rFonts w:ascii="Arial" w:eastAsia="黑体" w:hAnsi="Arial" w:cs="Arial" w:hint="eastAsia"/>
                <w:sz w:val="18"/>
                <w:szCs w:val="18"/>
              </w:rPr>
              <w:t>临路数量≥</w:t>
            </w:r>
            <w:r>
              <w:rPr>
                <w:rFonts w:ascii="Arial" w:eastAsia="黑体" w:hAnsi="Arial" w:cs="Arial" w:hint="eastAsia"/>
                <w:sz w:val="18"/>
                <w:szCs w:val="18"/>
              </w:rPr>
              <w:t>4</w:t>
            </w:r>
            <w:r>
              <w:rPr>
                <w:rFonts w:ascii="Arial" w:eastAsia="黑体" w:hAnsi="Arial" w:cs="Arial" w:hint="eastAsia"/>
                <w:sz w:val="18"/>
                <w:szCs w:val="18"/>
              </w:rPr>
              <w:t>或临轨道交通站点</w:t>
            </w:r>
            <w:r>
              <w:rPr>
                <w:rFonts w:ascii="Arial" w:eastAsia="黑体" w:hAnsi="Arial" w:cs="Arial" w:hint="eastAsia"/>
                <w:sz w:val="18"/>
                <w:szCs w:val="18"/>
              </w:rPr>
              <w:t>300</w:t>
            </w:r>
            <w:r>
              <w:rPr>
                <w:rFonts w:ascii="Arial" w:eastAsia="黑体" w:hAnsi="Arial" w:cs="Arial" w:hint="eastAsia"/>
                <w:sz w:val="18"/>
                <w:szCs w:val="18"/>
              </w:rPr>
              <w:t>米</w:t>
            </w:r>
          </w:p>
        </w:tc>
        <w:tc>
          <w:tcPr>
            <w:tcW w:w="1626" w:type="dxa"/>
            <w:tcBorders>
              <w:top w:val="single" w:sz="12" w:space="0" w:color="auto"/>
              <w:left w:val="nil"/>
              <w:bottom w:val="single" w:sz="4" w:space="0" w:color="auto"/>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w:t>
            </w:r>
            <w:r>
              <w:rPr>
                <w:rFonts w:ascii="Arial" w:eastAsia="黑体" w:hAnsi="Arial" w:cs="Arial" w:hint="eastAsia"/>
                <w:sz w:val="18"/>
                <w:szCs w:val="18"/>
              </w:rPr>
              <w:t>1.2</w:t>
            </w:r>
          </w:p>
        </w:tc>
      </w:tr>
      <w:tr w:rsidR="00DA44CC">
        <w:trPr>
          <w:trHeight w:val="20"/>
        </w:trPr>
        <w:tc>
          <w:tcPr>
            <w:tcW w:w="1242" w:type="dxa"/>
            <w:vMerge/>
            <w:tcBorders>
              <w:top w:val="single" w:sz="4" w:space="0" w:color="auto"/>
              <w:left w:val="single" w:sz="12" w:space="0" w:color="auto"/>
              <w:bottom w:val="single" w:sz="4" w:space="0" w:color="000000"/>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1397" w:type="dxa"/>
            <w:vMerge/>
            <w:tcBorders>
              <w:top w:val="single" w:sz="4" w:space="0" w:color="auto"/>
              <w:left w:val="single" w:sz="4" w:space="0" w:color="auto"/>
              <w:bottom w:val="single" w:sz="4" w:space="0" w:color="auto"/>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4951" w:type="dxa"/>
            <w:tcBorders>
              <w:top w:val="nil"/>
              <w:left w:val="nil"/>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N</w:t>
            </w:r>
            <w:r>
              <w:rPr>
                <w:rFonts w:ascii="Arial" w:eastAsia="黑体" w:hAnsi="Arial" w:cs="Arial" w:hint="eastAsia"/>
                <w:sz w:val="18"/>
                <w:szCs w:val="18"/>
              </w:rPr>
              <w:t>临路数量</w:t>
            </w:r>
            <w:r>
              <w:rPr>
                <w:rFonts w:ascii="Arial" w:eastAsia="黑体" w:hAnsi="Arial" w:cs="Arial" w:hint="eastAsia"/>
                <w:sz w:val="18"/>
                <w:szCs w:val="18"/>
              </w:rPr>
              <w:t>=3</w:t>
            </w:r>
          </w:p>
        </w:tc>
        <w:tc>
          <w:tcPr>
            <w:tcW w:w="1626" w:type="dxa"/>
            <w:tcBorders>
              <w:top w:val="nil"/>
              <w:left w:val="nil"/>
              <w:bottom w:val="single" w:sz="4" w:space="0" w:color="auto"/>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w:t>
            </w:r>
            <w:r>
              <w:rPr>
                <w:rFonts w:ascii="Arial" w:eastAsia="黑体" w:hAnsi="Arial" w:cs="Arial" w:hint="eastAsia"/>
                <w:sz w:val="18"/>
                <w:szCs w:val="18"/>
              </w:rPr>
              <w:t>1.1</w:t>
            </w:r>
          </w:p>
        </w:tc>
      </w:tr>
      <w:tr w:rsidR="00DA44CC">
        <w:trPr>
          <w:trHeight w:val="20"/>
        </w:trPr>
        <w:tc>
          <w:tcPr>
            <w:tcW w:w="1242" w:type="dxa"/>
            <w:vMerge/>
            <w:tcBorders>
              <w:top w:val="single" w:sz="4" w:space="0" w:color="auto"/>
              <w:left w:val="single" w:sz="12" w:space="0" w:color="auto"/>
              <w:bottom w:val="single" w:sz="4" w:space="0" w:color="000000"/>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1397" w:type="dxa"/>
            <w:vMerge/>
            <w:tcBorders>
              <w:top w:val="single" w:sz="4" w:space="0" w:color="auto"/>
              <w:left w:val="single" w:sz="4" w:space="0" w:color="auto"/>
              <w:bottom w:val="single" w:sz="4" w:space="0" w:color="auto"/>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4951" w:type="dxa"/>
            <w:tcBorders>
              <w:top w:val="nil"/>
              <w:left w:val="nil"/>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N</w:t>
            </w:r>
            <w:r>
              <w:rPr>
                <w:rFonts w:ascii="Arial" w:eastAsia="黑体" w:hAnsi="Arial" w:cs="Arial" w:hint="eastAsia"/>
                <w:sz w:val="18"/>
                <w:szCs w:val="18"/>
              </w:rPr>
              <w:t>临路数量</w:t>
            </w:r>
            <w:r>
              <w:rPr>
                <w:rFonts w:ascii="Arial" w:eastAsia="黑体" w:hAnsi="Arial" w:cs="Arial" w:hint="eastAsia"/>
                <w:sz w:val="18"/>
                <w:szCs w:val="18"/>
              </w:rPr>
              <w:t>=2</w:t>
            </w:r>
          </w:p>
        </w:tc>
        <w:tc>
          <w:tcPr>
            <w:tcW w:w="1626" w:type="dxa"/>
            <w:tcBorders>
              <w:top w:val="nil"/>
              <w:left w:val="nil"/>
              <w:bottom w:val="single" w:sz="4" w:space="0" w:color="auto"/>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w:t>
            </w:r>
            <w:r>
              <w:rPr>
                <w:rFonts w:ascii="Arial" w:eastAsia="黑体" w:hAnsi="Arial" w:cs="Arial" w:hint="eastAsia"/>
                <w:sz w:val="18"/>
                <w:szCs w:val="18"/>
              </w:rPr>
              <w:t>1.0</w:t>
            </w:r>
          </w:p>
        </w:tc>
      </w:tr>
      <w:tr w:rsidR="00DA44CC">
        <w:trPr>
          <w:trHeight w:val="20"/>
        </w:trPr>
        <w:tc>
          <w:tcPr>
            <w:tcW w:w="1242" w:type="dxa"/>
            <w:vMerge/>
            <w:tcBorders>
              <w:top w:val="single" w:sz="4" w:space="0" w:color="auto"/>
              <w:left w:val="single" w:sz="12" w:space="0" w:color="auto"/>
              <w:bottom w:val="single" w:sz="4" w:space="0" w:color="000000"/>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1397" w:type="dxa"/>
            <w:vMerge/>
            <w:tcBorders>
              <w:top w:val="single" w:sz="4" w:space="0" w:color="auto"/>
              <w:left w:val="single" w:sz="4" w:space="0" w:color="auto"/>
              <w:bottom w:val="single" w:sz="4" w:space="0" w:color="auto"/>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4951" w:type="dxa"/>
            <w:tcBorders>
              <w:top w:val="nil"/>
              <w:left w:val="nil"/>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N</w:t>
            </w:r>
            <w:r>
              <w:rPr>
                <w:rFonts w:ascii="Arial" w:eastAsia="黑体" w:hAnsi="Arial" w:cs="Arial" w:hint="eastAsia"/>
                <w:sz w:val="18"/>
                <w:szCs w:val="18"/>
              </w:rPr>
              <w:t>临路数量≤</w:t>
            </w:r>
            <w:r>
              <w:rPr>
                <w:rFonts w:ascii="Arial" w:eastAsia="黑体" w:hAnsi="Arial" w:cs="Arial" w:hint="eastAsia"/>
                <w:sz w:val="18"/>
                <w:szCs w:val="18"/>
              </w:rPr>
              <w:t>1</w:t>
            </w:r>
          </w:p>
        </w:tc>
        <w:tc>
          <w:tcPr>
            <w:tcW w:w="1626" w:type="dxa"/>
            <w:tcBorders>
              <w:top w:val="nil"/>
              <w:left w:val="nil"/>
              <w:bottom w:val="single" w:sz="4" w:space="0" w:color="auto"/>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w:t>
            </w:r>
            <w:r>
              <w:rPr>
                <w:rFonts w:ascii="Arial" w:eastAsia="黑体" w:hAnsi="Arial" w:cs="Arial" w:hint="eastAsia"/>
                <w:sz w:val="18"/>
                <w:szCs w:val="18"/>
              </w:rPr>
              <w:t>0.9</w:t>
            </w:r>
          </w:p>
        </w:tc>
      </w:tr>
      <w:tr w:rsidR="00DA44CC">
        <w:trPr>
          <w:trHeight w:val="20"/>
        </w:trPr>
        <w:tc>
          <w:tcPr>
            <w:tcW w:w="1242" w:type="dxa"/>
            <w:vMerge/>
            <w:tcBorders>
              <w:top w:val="single" w:sz="4" w:space="0" w:color="auto"/>
              <w:left w:val="single" w:sz="12" w:space="0" w:color="auto"/>
              <w:bottom w:val="single" w:sz="4" w:space="0" w:color="000000"/>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1397" w:type="dxa"/>
            <w:vMerge w:val="restart"/>
            <w:tcBorders>
              <w:top w:val="single" w:sz="4" w:space="0" w:color="auto"/>
              <w:left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商业服务业用地</w:t>
            </w:r>
          </w:p>
        </w:tc>
        <w:tc>
          <w:tcPr>
            <w:tcW w:w="4951" w:type="dxa"/>
            <w:tcBorders>
              <w:top w:val="nil"/>
              <w:left w:val="nil"/>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临轨道交通站点</w:t>
            </w:r>
            <w:r>
              <w:rPr>
                <w:rFonts w:ascii="Arial" w:eastAsia="黑体" w:hAnsi="Arial" w:cs="Arial" w:hint="eastAsia"/>
                <w:sz w:val="18"/>
                <w:szCs w:val="18"/>
              </w:rPr>
              <w:t>200</w:t>
            </w:r>
            <w:r>
              <w:rPr>
                <w:rFonts w:ascii="Arial" w:eastAsia="黑体" w:hAnsi="Arial" w:cs="Arial" w:hint="eastAsia"/>
                <w:sz w:val="18"/>
                <w:szCs w:val="18"/>
              </w:rPr>
              <w:t>米</w:t>
            </w:r>
            <w:r>
              <w:rPr>
                <w:rFonts w:ascii="Arial" w:eastAsia="黑体" w:hAnsi="Arial" w:cs="Arial" w:hint="eastAsia"/>
                <w:sz w:val="18"/>
                <w:szCs w:val="18"/>
              </w:rPr>
              <w:t>(</w:t>
            </w:r>
            <w:r>
              <w:rPr>
                <w:rFonts w:ascii="Arial" w:eastAsia="黑体" w:hAnsi="Arial" w:cs="Arial" w:hint="eastAsia"/>
                <w:sz w:val="18"/>
                <w:szCs w:val="18"/>
              </w:rPr>
              <w:t>综合枢纽站</w:t>
            </w:r>
            <w:r>
              <w:rPr>
                <w:rFonts w:ascii="Arial" w:eastAsia="黑体" w:hAnsi="Arial" w:cs="Arial" w:hint="eastAsia"/>
                <w:sz w:val="18"/>
                <w:szCs w:val="18"/>
              </w:rPr>
              <w:t>)</w:t>
            </w:r>
          </w:p>
        </w:tc>
        <w:tc>
          <w:tcPr>
            <w:tcW w:w="1626" w:type="dxa"/>
            <w:tcBorders>
              <w:top w:val="nil"/>
              <w:left w:val="nil"/>
              <w:bottom w:val="single" w:sz="4" w:space="0" w:color="auto"/>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w:t>
            </w:r>
            <w:r>
              <w:rPr>
                <w:rFonts w:ascii="Arial" w:eastAsia="黑体" w:hAnsi="Arial" w:cs="Arial" w:hint="eastAsia"/>
                <w:sz w:val="18"/>
                <w:szCs w:val="18"/>
              </w:rPr>
              <w:t>1.4</w:t>
            </w:r>
          </w:p>
        </w:tc>
      </w:tr>
      <w:tr w:rsidR="00DA44CC">
        <w:trPr>
          <w:trHeight w:val="20"/>
        </w:trPr>
        <w:tc>
          <w:tcPr>
            <w:tcW w:w="1242" w:type="dxa"/>
            <w:vMerge/>
            <w:tcBorders>
              <w:top w:val="single" w:sz="4" w:space="0" w:color="auto"/>
              <w:left w:val="single" w:sz="12" w:space="0" w:color="auto"/>
              <w:bottom w:val="single" w:sz="4" w:space="0" w:color="000000"/>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1397" w:type="dxa"/>
            <w:vMerge/>
            <w:tcBorders>
              <w:left w:val="single" w:sz="4" w:space="0" w:color="auto"/>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4951" w:type="dxa"/>
            <w:tcBorders>
              <w:top w:val="nil"/>
              <w:left w:val="nil"/>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临轨道交通站点</w:t>
            </w:r>
            <w:r>
              <w:rPr>
                <w:rFonts w:ascii="Arial" w:eastAsia="黑体" w:hAnsi="Arial" w:cs="Arial" w:hint="eastAsia"/>
                <w:sz w:val="18"/>
                <w:szCs w:val="18"/>
              </w:rPr>
              <w:t>200</w:t>
            </w:r>
            <w:r>
              <w:rPr>
                <w:rFonts w:ascii="Arial" w:eastAsia="黑体" w:hAnsi="Arial" w:cs="Arial" w:hint="eastAsia"/>
                <w:sz w:val="18"/>
                <w:szCs w:val="18"/>
              </w:rPr>
              <w:t>米</w:t>
            </w:r>
            <w:r>
              <w:rPr>
                <w:rFonts w:ascii="Arial" w:eastAsia="黑体" w:hAnsi="Arial" w:cs="Arial" w:hint="eastAsia"/>
                <w:sz w:val="18"/>
                <w:szCs w:val="18"/>
              </w:rPr>
              <w:t>(</w:t>
            </w:r>
            <w:r>
              <w:rPr>
                <w:rFonts w:ascii="Arial" w:eastAsia="黑体" w:hAnsi="Arial" w:cs="Arial" w:hint="eastAsia"/>
                <w:sz w:val="18"/>
                <w:szCs w:val="18"/>
              </w:rPr>
              <w:t>一般站</w:t>
            </w:r>
            <w:r>
              <w:rPr>
                <w:rFonts w:ascii="Arial" w:eastAsia="黑体" w:hAnsi="Arial" w:cs="Arial" w:hint="eastAsia"/>
                <w:sz w:val="18"/>
                <w:szCs w:val="18"/>
              </w:rPr>
              <w:t>)</w:t>
            </w:r>
          </w:p>
        </w:tc>
        <w:tc>
          <w:tcPr>
            <w:tcW w:w="1626" w:type="dxa"/>
            <w:tcBorders>
              <w:top w:val="nil"/>
              <w:left w:val="nil"/>
              <w:bottom w:val="single" w:sz="4" w:space="0" w:color="auto"/>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w:t>
            </w:r>
            <w:r>
              <w:rPr>
                <w:rFonts w:ascii="Arial" w:eastAsia="黑体" w:hAnsi="Arial" w:cs="Arial" w:hint="eastAsia"/>
                <w:sz w:val="18"/>
                <w:szCs w:val="18"/>
              </w:rPr>
              <w:t>1.3</w:t>
            </w:r>
          </w:p>
        </w:tc>
      </w:tr>
      <w:tr w:rsidR="00DA44CC">
        <w:trPr>
          <w:trHeight w:val="20"/>
        </w:trPr>
        <w:tc>
          <w:tcPr>
            <w:tcW w:w="1242" w:type="dxa"/>
            <w:vMerge/>
            <w:tcBorders>
              <w:top w:val="single" w:sz="4" w:space="0" w:color="auto"/>
              <w:left w:val="single" w:sz="12" w:space="0" w:color="auto"/>
              <w:bottom w:val="single" w:sz="4" w:space="0" w:color="000000"/>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1397" w:type="dxa"/>
            <w:vMerge/>
            <w:tcBorders>
              <w:left w:val="single" w:sz="4" w:space="0" w:color="auto"/>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4951" w:type="dxa"/>
            <w:tcBorders>
              <w:top w:val="single" w:sz="4" w:space="0" w:color="auto"/>
              <w:left w:val="nil"/>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N</w:t>
            </w:r>
            <w:r>
              <w:rPr>
                <w:rFonts w:ascii="Arial" w:eastAsia="黑体" w:hAnsi="Arial" w:cs="Arial" w:hint="eastAsia"/>
                <w:sz w:val="18"/>
                <w:szCs w:val="18"/>
              </w:rPr>
              <w:t>主干道≥</w:t>
            </w:r>
            <w:r>
              <w:rPr>
                <w:rFonts w:ascii="Arial" w:eastAsia="黑体" w:hAnsi="Arial" w:cs="Arial" w:hint="eastAsia"/>
                <w:sz w:val="18"/>
                <w:szCs w:val="18"/>
              </w:rPr>
              <w:t>2</w:t>
            </w:r>
          </w:p>
        </w:tc>
        <w:tc>
          <w:tcPr>
            <w:tcW w:w="1626" w:type="dxa"/>
            <w:tcBorders>
              <w:top w:val="single" w:sz="4" w:space="0" w:color="auto"/>
              <w:left w:val="nil"/>
              <w:bottom w:val="single" w:sz="4" w:space="0" w:color="auto"/>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w:t>
            </w:r>
            <w:r>
              <w:rPr>
                <w:rFonts w:ascii="Arial" w:eastAsia="黑体" w:hAnsi="Arial" w:cs="Arial" w:hint="eastAsia"/>
                <w:sz w:val="18"/>
                <w:szCs w:val="18"/>
              </w:rPr>
              <w:t>1.2</w:t>
            </w:r>
          </w:p>
        </w:tc>
      </w:tr>
      <w:tr w:rsidR="00DA44CC">
        <w:trPr>
          <w:trHeight w:val="20"/>
        </w:trPr>
        <w:tc>
          <w:tcPr>
            <w:tcW w:w="1242" w:type="dxa"/>
            <w:vMerge/>
            <w:tcBorders>
              <w:top w:val="single" w:sz="4" w:space="0" w:color="auto"/>
              <w:left w:val="single" w:sz="12" w:space="0" w:color="auto"/>
              <w:bottom w:val="single" w:sz="4" w:space="0" w:color="000000"/>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1397" w:type="dxa"/>
            <w:vMerge/>
            <w:tcBorders>
              <w:left w:val="single" w:sz="4" w:space="0" w:color="auto"/>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4951" w:type="dxa"/>
            <w:tcBorders>
              <w:top w:val="single" w:sz="4" w:space="0" w:color="auto"/>
              <w:left w:val="nil"/>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N</w:t>
            </w:r>
            <w:r>
              <w:rPr>
                <w:rFonts w:ascii="Arial" w:eastAsia="黑体" w:hAnsi="Arial" w:cs="Arial" w:hint="eastAsia"/>
                <w:sz w:val="18"/>
                <w:szCs w:val="18"/>
              </w:rPr>
              <w:t>主干道</w:t>
            </w:r>
            <w:r>
              <w:rPr>
                <w:rFonts w:ascii="Arial" w:eastAsia="黑体" w:hAnsi="Arial" w:cs="Arial" w:hint="eastAsia"/>
                <w:sz w:val="18"/>
                <w:szCs w:val="18"/>
              </w:rPr>
              <w:t>=1</w:t>
            </w:r>
            <w:r>
              <w:rPr>
                <w:rFonts w:ascii="Arial" w:eastAsia="黑体" w:hAnsi="Arial" w:cs="Arial" w:hint="eastAsia"/>
                <w:sz w:val="18"/>
                <w:szCs w:val="18"/>
              </w:rPr>
              <w:t>或</w:t>
            </w:r>
            <w:r>
              <w:rPr>
                <w:rFonts w:ascii="Arial" w:eastAsia="黑体" w:hAnsi="Arial" w:cs="Arial" w:hint="eastAsia"/>
                <w:sz w:val="18"/>
                <w:szCs w:val="18"/>
              </w:rPr>
              <w:t>N</w:t>
            </w:r>
            <w:r>
              <w:rPr>
                <w:rFonts w:ascii="Arial" w:eastAsia="黑体" w:hAnsi="Arial" w:cs="Arial" w:hint="eastAsia"/>
                <w:sz w:val="18"/>
                <w:szCs w:val="18"/>
              </w:rPr>
              <w:t>次干道≥</w:t>
            </w:r>
            <w:r>
              <w:rPr>
                <w:rFonts w:ascii="Arial" w:eastAsia="黑体" w:hAnsi="Arial" w:cs="Arial" w:hint="eastAsia"/>
                <w:sz w:val="18"/>
                <w:szCs w:val="18"/>
              </w:rPr>
              <w:t>2</w:t>
            </w:r>
          </w:p>
        </w:tc>
        <w:tc>
          <w:tcPr>
            <w:tcW w:w="1626" w:type="dxa"/>
            <w:tcBorders>
              <w:top w:val="single" w:sz="4" w:space="0" w:color="auto"/>
              <w:left w:val="nil"/>
              <w:bottom w:val="single" w:sz="4" w:space="0" w:color="auto"/>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w:t>
            </w:r>
            <w:r>
              <w:rPr>
                <w:rFonts w:ascii="Arial" w:eastAsia="黑体" w:hAnsi="Arial" w:cs="Arial" w:hint="eastAsia"/>
                <w:sz w:val="18"/>
                <w:szCs w:val="18"/>
              </w:rPr>
              <w:t>1.1</w:t>
            </w:r>
          </w:p>
        </w:tc>
      </w:tr>
      <w:tr w:rsidR="00DA44CC">
        <w:trPr>
          <w:trHeight w:val="20"/>
        </w:trPr>
        <w:tc>
          <w:tcPr>
            <w:tcW w:w="1242" w:type="dxa"/>
            <w:vMerge/>
            <w:tcBorders>
              <w:top w:val="single" w:sz="4" w:space="0" w:color="auto"/>
              <w:left w:val="single" w:sz="12" w:space="0" w:color="auto"/>
              <w:bottom w:val="single" w:sz="4" w:space="0" w:color="000000"/>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1397" w:type="dxa"/>
            <w:vMerge/>
            <w:tcBorders>
              <w:left w:val="single" w:sz="4" w:space="0" w:color="auto"/>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4951" w:type="dxa"/>
            <w:tcBorders>
              <w:top w:val="nil"/>
              <w:left w:val="nil"/>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N</w:t>
            </w:r>
            <w:r>
              <w:rPr>
                <w:rFonts w:ascii="Arial" w:eastAsia="黑体" w:hAnsi="Arial" w:cs="Arial" w:hint="eastAsia"/>
                <w:sz w:val="18"/>
                <w:szCs w:val="18"/>
              </w:rPr>
              <w:t>次干道</w:t>
            </w:r>
            <w:r>
              <w:rPr>
                <w:rFonts w:ascii="Arial" w:eastAsia="黑体" w:hAnsi="Arial" w:cs="Arial" w:hint="eastAsia"/>
                <w:sz w:val="18"/>
                <w:szCs w:val="18"/>
              </w:rPr>
              <w:t>=1</w:t>
            </w:r>
            <w:r>
              <w:rPr>
                <w:rFonts w:ascii="Arial" w:eastAsia="黑体" w:hAnsi="Arial" w:cs="Arial" w:hint="eastAsia"/>
                <w:sz w:val="18"/>
                <w:szCs w:val="18"/>
              </w:rPr>
              <w:t>或</w:t>
            </w:r>
            <w:r>
              <w:rPr>
                <w:rFonts w:ascii="Arial" w:eastAsia="黑体" w:hAnsi="Arial" w:cs="Arial" w:hint="eastAsia"/>
                <w:sz w:val="18"/>
                <w:szCs w:val="18"/>
              </w:rPr>
              <w:t>N</w:t>
            </w:r>
            <w:r>
              <w:rPr>
                <w:rFonts w:ascii="Arial" w:eastAsia="黑体" w:hAnsi="Arial" w:cs="Arial" w:hint="eastAsia"/>
                <w:sz w:val="18"/>
                <w:szCs w:val="18"/>
              </w:rPr>
              <w:t>支路≥</w:t>
            </w:r>
            <w:r>
              <w:rPr>
                <w:rFonts w:ascii="Arial" w:eastAsia="黑体" w:hAnsi="Arial" w:cs="Arial" w:hint="eastAsia"/>
                <w:sz w:val="18"/>
                <w:szCs w:val="18"/>
              </w:rPr>
              <w:t>2</w:t>
            </w:r>
          </w:p>
        </w:tc>
        <w:tc>
          <w:tcPr>
            <w:tcW w:w="1626" w:type="dxa"/>
            <w:tcBorders>
              <w:top w:val="nil"/>
              <w:left w:val="nil"/>
              <w:bottom w:val="single" w:sz="4" w:space="0" w:color="auto"/>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w:t>
            </w:r>
            <w:r>
              <w:rPr>
                <w:rFonts w:ascii="Arial" w:eastAsia="黑体" w:hAnsi="Arial" w:cs="Arial" w:hint="eastAsia"/>
                <w:sz w:val="18"/>
                <w:szCs w:val="18"/>
              </w:rPr>
              <w:t>1.0</w:t>
            </w:r>
          </w:p>
        </w:tc>
      </w:tr>
      <w:tr w:rsidR="00DA44CC">
        <w:trPr>
          <w:trHeight w:val="20"/>
        </w:trPr>
        <w:tc>
          <w:tcPr>
            <w:tcW w:w="1242" w:type="dxa"/>
            <w:vMerge/>
            <w:tcBorders>
              <w:top w:val="single" w:sz="4" w:space="0" w:color="auto"/>
              <w:left w:val="single" w:sz="12" w:space="0" w:color="auto"/>
              <w:bottom w:val="single" w:sz="4" w:space="0" w:color="000000"/>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1397" w:type="dxa"/>
            <w:vMerge/>
            <w:tcBorders>
              <w:left w:val="single" w:sz="4" w:space="0" w:color="auto"/>
              <w:bottom w:val="single" w:sz="4" w:space="0" w:color="auto"/>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4951" w:type="dxa"/>
            <w:tcBorders>
              <w:top w:val="nil"/>
              <w:left w:val="nil"/>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N</w:t>
            </w:r>
            <w:r>
              <w:rPr>
                <w:rFonts w:ascii="Arial" w:eastAsia="黑体" w:hAnsi="Arial" w:cs="Arial" w:hint="eastAsia"/>
                <w:sz w:val="18"/>
                <w:szCs w:val="18"/>
              </w:rPr>
              <w:t>支路</w:t>
            </w:r>
            <w:r>
              <w:rPr>
                <w:rFonts w:ascii="Arial" w:eastAsia="黑体" w:hAnsi="Arial" w:cs="Arial" w:hint="eastAsia"/>
                <w:sz w:val="18"/>
                <w:szCs w:val="18"/>
              </w:rPr>
              <w:t>&lt;2</w:t>
            </w:r>
          </w:p>
        </w:tc>
        <w:tc>
          <w:tcPr>
            <w:tcW w:w="1626" w:type="dxa"/>
            <w:tcBorders>
              <w:top w:val="nil"/>
              <w:left w:val="nil"/>
              <w:bottom w:val="single" w:sz="4" w:space="0" w:color="auto"/>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w:t>
            </w:r>
            <w:r>
              <w:rPr>
                <w:rFonts w:ascii="Arial" w:eastAsia="黑体" w:hAnsi="Arial" w:cs="Arial" w:hint="eastAsia"/>
                <w:sz w:val="18"/>
                <w:szCs w:val="18"/>
              </w:rPr>
              <w:t>0.9</w:t>
            </w:r>
          </w:p>
        </w:tc>
      </w:tr>
      <w:tr w:rsidR="00DA44CC">
        <w:trPr>
          <w:trHeight w:val="20"/>
        </w:trPr>
        <w:tc>
          <w:tcPr>
            <w:tcW w:w="1242" w:type="dxa"/>
            <w:vMerge w:val="restart"/>
            <w:tcBorders>
              <w:top w:val="nil"/>
              <w:left w:val="single" w:sz="12" w:space="0" w:color="auto"/>
              <w:bottom w:val="single" w:sz="4" w:space="0" w:color="000000"/>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用地规模调节系数（</w:t>
            </w:r>
            <w:r>
              <w:rPr>
                <w:rFonts w:ascii="Arial" w:eastAsia="黑体" w:hAnsi="Arial" w:cs="Arial"/>
                <w:sz w:val="18"/>
                <w:szCs w:val="18"/>
              </w:rPr>
              <w:t>µ</w:t>
            </w:r>
            <w:r>
              <w:rPr>
                <w:rFonts w:ascii="Arial" w:eastAsia="黑体" w:hAnsi="Arial" w:cs="Arial" w:hint="eastAsia"/>
                <w:sz w:val="18"/>
                <w:szCs w:val="18"/>
              </w:rPr>
              <w:t>2</w:t>
            </w:r>
            <w:r>
              <w:rPr>
                <w:rFonts w:ascii="Arial" w:eastAsia="黑体" w:hAnsi="Arial" w:cs="Arial" w:hint="eastAsia"/>
                <w:sz w:val="18"/>
                <w:szCs w:val="18"/>
              </w:rPr>
              <w:t>）</w:t>
            </w:r>
          </w:p>
        </w:tc>
        <w:tc>
          <w:tcPr>
            <w:tcW w:w="1397" w:type="dxa"/>
            <w:vMerge w:val="restart"/>
            <w:tcBorders>
              <w:top w:val="nil"/>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居住用地</w:t>
            </w:r>
          </w:p>
        </w:tc>
        <w:tc>
          <w:tcPr>
            <w:tcW w:w="4951" w:type="dxa"/>
            <w:tcBorders>
              <w:top w:val="nil"/>
              <w:left w:val="nil"/>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10000</w:t>
            </w:r>
            <w:r>
              <w:rPr>
                <w:rFonts w:ascii="Arial" w:eastAsia="黑体" w:hAnsi="Arial" w:cs="Arial" w:hint="eastAsia"/>
                <w:sz w:val="18"/>
                <w:szCs w:val="18"/>
              </w:rPr>
              <w:t>平方米≤</w:t>
            </w:r>
            <w:r>
              <w:rPr>
                <w:rFonts w:ascii="Arial" w:eastAsia="黑体" w:hAnsi="Arial" w:cs="Arial" w:hint="eastAsia"/>
                <w:sz w:val="18"/>
                <w:szCs w:val="18"/>
              </w:rPr>
              <w:t>S</w:t>
            </w:r>
            <w:r>
              <w:rPr>
                <w:rFonts w:ascii="Arial" w:eastAsia="黑体" w:hAnsi="Arial" w:cs="Arial" w:hint="eastAsia"/>
                <w:sz w:val="18"/>
                <w:szCs w:val="18"/>
              </w:rPr>
              <w:t>基地</w:t>
            </w:r>
            <w:r>
              <w:rPr>
                <w:rFonts w:ascii="Arial" w:eastAsia="黑体" w:hAnsi="Arial" w:cs="Arial" w:hint="eastAsia"/>
                <w:sz w:val="18"/>
                <w:szCs w:val="18"/>
              </w:rPr>
              <w:t>&lt;40000</w:t>
            </w:r>
            <w:r>
              <w:rPr>
                <w:rFonts w:ascii="Arial" w:eastAsia="黑体" w:hAnsi="Arial" w:cs="Arial" w:hint="eastAsia"/>
                <w:sz w:val="18"/>
                <w:szCs w:val="18"/>
              </w:rPr>
              <w:t>平方米</w:t>
            </w:r>
          </w:p>
        </w:tc>
        <w:tc>
          <w:tcPr>
            <w:tcW w:w="1626" w:type="dxa"/>
            <w:tcBorders>
              <w:top w:val="nil"/>
              <w:left w:val="nil"/>
              <w:bottom w:val="single" w:sz="4" w:space="0" w:color="auto"/>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w:t>
            </w:r>
            <w:r>
              <w:rPr>
                <w:rFonts w:ascii="Arial" w:eastAsia="黑体" w:hAnsi="Arial" w:cs="Arial" w:hint="eastAsia"/>
                <w:sz w:val="18"/>
                <w:szCs w:val="18"/>
              </w:rPr>
              <w:t>1.0</w:t>
            </w:r>
          </w:p>
        </w:tc>
      </w:tr>
      <w:tr w:rsidR="00DA44CC">
        <w:trPr>
          <w:trHeight w:val="20"/>
        </w:trPr>
        <w:tc>
          <w:tcPr>
            <w:tcW w:w="1242" w:type="dxa"/>
            <w:vMerge/>
            <w:tcBorders>
              <w:top w:val="nil"/>
              <w:left w:val="single" w:sz="12" w:space="0" w:color="auto"/>
              <w:bottom w:val="single" w:sz="4" w:space="0" w:color="000000"/>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1397" w:type="dxa"/>
            <w:vMerge/>
            <w:tcBorders>
              <w:top w:val="nil"/>
              <w:left w:val="single" w:sz="4" w:space="0" w:color="auto"/>
              <w:bottom w:val="single" w:sz="4" w:space="0" w:color="auto"/>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4951" w:type="dxa"/>
            <w:tcBorders>
              <w:top w:val="nil"/>
              <w:left w:val="nil"/>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40000</w:t>
            </w:r>
            <w:r>
              <w:rPr>
                <w:rFonts w:ascii="Arial" w:eastAsia="黑体" w:hAnsi="Arial" w:cs="Arial" w:hint="eastAsia"/>
                <w:sz w:val="18"/>
                <w:szCs w:val="18"/>
              </w:rPr>
              <w:t>平方米≤</w:t>
            </w:r>
            <w:r>
              <w:rPr>
                <w:rFonts w:ascii="Arial" w:eastAsia="黑体" w:hAnsi="Arial" w:cs="Arial" w:hint="eastAsia"/>
                <w:sz w:val="18"/>
                <w:szCs w:val="18"/>
              </w:rPr>
              <w:t>S</w:t>
            </w:r>
            <w:r>
              <w:rPr>
                <w:rFonts w:ascii="Arial" w:eastAsia="黑体" w:hAnsi="Arial" w:cs="Arial" w:hint="eastAsia"/>
                <w:sz w:val="18"/>
                <w:szCs w:val="18"/>
              </w:rPr>
              <w:t>基地</w:t>
            </w:r>
            <w:r>
              <w:rPr>
                <w:rFonts w:ascii="Arial" w:eastAsia="黑体" w:hAnsi="Arial" w:cs="Arial" w:hint="eastAsia"/>
                <w:sz w:val="18"/>
                <w:szCs w:val="18"/>
              </w:rPr>
              <w:t>&lt;70000</w:t>
            </w:r>
            <w:r>
              <w:rPr>
                <w:rFonts w:ascii="Arial" w:eastAsia="黑体" w:hAnsi="Arial" w:cs="Arial" w:hint="eastAsia"/>
                <w:sz w:val="18"/>
                <w:szCs w:val="18"/>
              </w:rPr>
              <w:t>平方米</w:t>
            </w:r>
          </w:p>
        </w:tc>
        <w:tc>
          <w:tcPr>
            <w:tcW w:w="1626" w:type="dxa"/>
            <w:tcBorders>
              <w:top w:val="nil"/>
              <w:left w:val="nil"/>
              <w:bottom w:val="single" w:sz="4" w:space="0" w:color="auto"/>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w:t>
            </w:r>
            <w:r>
              <w:rPr>
                <w:rFonts w:ascii="Arial" w:eastAsia="黑体" w:hAnsi="Arial" w:cs="Arial" w:hint="eastAsia"/>
                <w:sz w:val="18"/>
                <w:szCs w:val="18"/>
              </w:rPr>
              <w:t>0.95</w:t>
            </w:r>
          </w:p>
        </w:tc>
      </w:tr>
      <w:tr w:rsidR="00DA44CC">
        <w:trPr>
          <w:trHeight w:val="20"/>
        </w:trPr>
        <w:tc>
          <w:tcPr>
            <w:tcW w:w="1242" w:type="dxa"/>
            <w:vMerge/>
            <w:tcBorders>
              <w:top w:val="nil"/>
              <w:left w:val="single" w:sz="12" w:space="0" w:color="auto"/>
              <w:bottom w:val="single" w:sz="4" w:space="0" w:color="auto"/>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1397" w:type="dxa"/>
            <w:vMerge/>
            <w:tcBorders>
              <w:top w:val="nil"/>
              <w:left w:val="single" w:sz="4" w:space="0" w:color="auto"/>
              <w:bottom w:val="single" w:sz="4" w:space="0" w:color="auto"/>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4951" w:type="dxa"/>
            <w:tcBorders>
              <w:top w:val="nil"/>
              <w:left w:val="nil"/>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S</w:t>
            </w:r>
            <w:r>
              <w:rPr>
                <w:rFonts w:ascii="Arial" w:eastAsia="黑体" w:hAnsi="Arial" w:cs="Arial" w:hint="eastAsia"/>
                <w:sz w:val="18"/>
                <w:szCs w:val="18"/>
              </w:rPr>
              <w:t>基地≥</w:t>
            </w:r>
            <w:r>
              <w:rPr>
                <w:rFonts w:ascii="Arial" w:eastAsia="黑体" w:hAnsi="Arial" w:cs="Arial" w:hint="eastAsia"/>
                <w:sz w:val="18"/>
                <w:szCs w:val="18"/>
              </w:rPr>
              <w:t>70000</w:t>
            </w:r>
            <w:r>
              <w:rPr>
                <w:rFonts w:ascii="Arial" w:eastAsia="黑体" w:hAnsi="Arial" w:cs="Arial" w:hint="eastAsia"/>
                <w:sz w:val="18"/>
                <w:szCs w:val="18"/>
              </w:rPr>
              <w:t>平方米</w:t>
            </w:r>
          </w:p>
        </w:tc>
        <w:tc>
          <w:tcPr>
            <w:tcW w:w="1626" w:type="dxa"/>
            <w:tcBorders>
              <w:top w:val="nil"/>
              <w:left w:val="nil"/>
              <w:bottom w:val="single" w:sz="4" w:space="0" w:color="auto"/>
              <w:right w:val="single" w:sz="12"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w:t>
            </w:r>
            <w:r>
              <w:rPr>
                <w:rFonts w:ascii="Arial" w:eastAsia="黑体" w:hAnsi="Arial" w:cs="Arial" w:hint="eastAsia"/>
                <w:sz w:val="18"/>
                <w:szCs w:val="18"/>
              </w:rPr>
              <w:t>0.9</w:t>
            </w:r>
          </w:p>
        </w:tc>
      </w:tr>
      <w:tr w:rsidR="00DA44CC">
        <w:trPr>
          <w:trHeight w:val="989"/>
        </w:trPr>
        <w:tc>
          <w:tcPr>
            <w:tcW w:w="9216" w:type="dxa"/>
            <w:gridSpan w:val="4"/>
            <w:tcBorders>
              <w:top w:val="single" w:sz="4" w:space="0" w:color="auto"/>
              <w:left w:val="single" w:sz="12" w:space="0" w:color="auto"/>
              <w:bottom w:val="single" w:sz="12" w:space="0" w:color="auto"/>
              <w:right w:val="single" w:sz="12" w:space="0" w:color="auto"/>
            </w:tcBorders>
            <w:vAlign w:val="center"/>
          </w:tcPr>
          <w:p w:rsidR="00DA44CC" w:rsidRDefault="00C53A1B">
            <w:pPr>
              <w:adjustRightInd w:val="0"/>
              <w:snapToGrid w:val="0"/>
              <w:jc w:val="left"/>
            </w:pPr>
            <w:r>
              <w:rPr>
                <w:rFonts w:ascii="Arial" w:eastAsia="黑体" w:hAnsi="Arial" w:cs="Arial" w:hint="eastAsia"/>
                <w:sz w:val="18"/>
                <w:szCs w:val="18"/>
              </w:rPr>
              <w:t>注：</w:t>
            </w:r>
            <w:r>
              <w:rPr>
                <w:rFonts w:ascii="Arial" w:eastAsia="黑体" w:hAnsi="Arial" w:cs="Arial" w:hint="eastAsia"/>
                <w:sz w:val="18"/>
                <w:szCs w:val="18"/>
              </w:rPr>
              <w:t>1</w:t>
            </w:r>
            <w:r>
              <w:rPr>
                <w:rFonts w:ascii="Arial" w:eastAsia="黑体" w:hAnsi="Arial" w:cs="Arial" w:hint="eastAsia"/>
                <w:sz w:val="18"/>
                <w:szCs w:val="18"/>
              </w:rPr>
              <w:t>、采用临轨道交通站点调节系数时，建设项目位于轨道站点外轮廓线</w:t>
            </w:r>
            <w:r>
              <w:rPr>
                <w:rFonts w:ascii="Arial" w:eastAsia="黑体" w:hAnsi="Arial" w:cs="Arial" w:hint="eastAsia"/>
                <w:sz w:val="18"/>
                <w:szCs w:val="18"/>
              </w:rPr>
              <w:t>300</w:t>
            </w:r>
            <w:r>
              <w:rPr>
                <w:rFonts w:ascii="Arial" w:eastAsia="黑体" w:hAnsi="Arial" w:cs="Arial" w:hint="eastAsia"/>
                <w:sz w:val="18"/>
                <w:szCs w:val="18"/>
              </w:rPr>
              <w:t>米（商业服务业用地为</w:t>
            </w:r>
            <w:r>
              <w:rPr>
                <w:rFonts w:ascii="Arial" w:eastAsia="黑体" w:hAnsi="Arial" w:cs="Arial" w:hint="eastAsia"/>
                <w:sz w:val="18"/>
                <w:szCs w:val="18"/>
              </w:rPr>
              <w:t>200</w:t>
            </w:r>
            <w:r>
              <w:rPr>
                <w:rFonts w:ascii="Arial" w:eastAsia="黑体" w:hAnsi="Arial" w:cs="Arial" w:hint="eastAsia"/>
                <w:sz w:val="18"/>
                <w:szCs w:val="18"/>
              </w:rPr>
              <w:t>米）（详见附图二）范围内的用地不小于总用地面积</w:t>
            </w:r>
            <w:r>
              <w:rPr>
                <w:rFonts w:ascii="Arial" w:eastAsia="黑体" w:hAnsi="Arial" w:cs="Arial" w:hint="eastAsia"/>
                <w:sz w:val="18"/>
                <w:szCs w:val="18"/>
              </w:rPr>
              <w:t>50%</w:t>
            </w:r>
            <w:r>
              <w:rPr>
                <w:rFonts w:ascii="Arial" w:eastAsia="黑体" w:hAnsi="Arial" w:cs="Arial" w:hint="eastAsia"/>
                <w:sz w:val="18"/>
                <w:szCs w:val="18"/>
              </w:rPr>
              <w:t>；</w:t>
            </w:r>
          </w:p>
          <w:p w:rsidR="00DA44CC" w:rsidRDefault="00C53A1B">
            <w:pPr>
              <w:adjustRightInd w:val="0"/>
              <w:snapToGrid w:val="0"/>
              <w:jc w:val="left"/>
              <w:rPr>
                <w:rFonts w:ascii="Arial" w:eastAsia="黑体" w:hAnsi="Arial" w:cs="Arial"/>
                <w:sz w:val="18"/>
                <w:szCs w:val="18"/>
              </w:rPr>
            </w:pPr>
            <w:r>
              <w:rPr>
                <w:rFonts w:ascii="Arial" w:eastAsia="黑体" w:hAnsi="Arial" w:cs="Arial" w:hint="eastAsia"/>
                <w:sz w:val="18"/>
                <w:szCs w:val="18"/>
              </w:rPr>
              <w:t>2</w:t>
            </w:r>
            <w:r>
              <w:rPr>
                <w:rFonts w:ascii="Arial" w:eastAsia="黑体" w:hAnsi="Arial" w:cs="Arial" w:hint="eastAsia"/>
                <w:sz w:val="18"/>
                <w:szCs w:val="18"/>
              </w:rPr>
              <w:t>、交通区位调节系数只能二选一的方式进行计算，且轨道交通调节系数需待轨道交通建设项目批准后使用；</w:t>
            </w:r>
          </w:p>
          <w:p w:rsidR="00DA44CC" w:rsidRDefault="00C53A1B">
            <w:pPr>
              <w:adjustRightInd w:val="0"/>
              <w:snapToGrid w:val="0"/>
              <w:jc w:val="left"/>
            </w:pPr>
            <w:r>
              <w:rPr>
                <w:rFonts w:ascii="Arial" w:eastAsia="黑体" w:hAnsi="Arial" w:cs="Arial" w:hint="eastAsia"/>
                <w:sz w:val="18"/>
                <w:szCs w:val="18"/>
              </w:rPr>
              <w:t>3</w:t>
            </w:r>
            <w:r>
              <w:rPr>
                <w:rFonts w:ascii="Arial" w:eastAsia="黑体" w:hAnsi="Arial" w:cs="Arial" w:hint="eastAsia"/>
                <w:sz w:val="18"/>
                <w:szCs w:val="18"/>
              </w:rPr>
              <w:t>、临路数量主要指临宽度</w:t>
            </w:r>
            <w:r>
              <w:rPr>
                <w:rFonts w:ascii="Arial" w:eastAsia="黑体" w:hAnsi="Arial" w:cs="Arial" w:hint="eastAsia"/>
                <w:sz w:val="18"/>
                <w:szCs w:val="18"/>
              </w:rPr>
              <w:t>15</w:t>
            </w:r>
            <w:r>
              <w:rPr>
                <w:rFonts w:ascii="Arial" w:eastAsia="黑体" w:hAnsi="Arial" w:cs="Arial" w:hint="eastAsia"/>
                <w:sz w:val="18"/>
                <w:szCs w:val="18"/>
              </w:rPr>
              <w:t>米以上的城市道路数量。</w:t>
            </w:r>
          </w:p>
        </w:tc>
      </w:tr>
    </w:tbl>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第十七条  工业仓储用地容积率控制要求</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工业用地容积率控制指标参照《山东省建设用地控制标准（2019年版）》；物流仓储用地容积率原则上不低于1.0；新型产业用地（M0）容积率原则上不低于1.5，容积率上限参照商业服务业设施用地的容积率进行控制。</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第十八条  其他类用地容积率控制要求</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其他类用地采用直接给定建设强度区间的方式控制。在符合相关设施行业管理要求下，可参照其他类用地建设强度指标控制表执行（详见表3-3）或以发改部门批复的可行性研究报告为准。</w:t>
      </w:r>
    </w:p>
    <w:p w:rsidR="00DA44CC" w:rsidRDefault="00C53A1B">
      <w:pPr>
        <w:spacing w:line="360" w:lineRule="auto"/>
        <w:ind w:left="704"/>
        <w:jc w:val="center"/>
        <w:rPr>
          <w:rFonts w:ascii="宋体" w:hAnsi="宋体"/>
          <w:b/>
        </w:rPr>
      </w:pPr>
      <w:r>
        <w:rPr>
          <w:rFonts w:ascii="黑体" w:eastAsia="黑体" w:hAnsi="黑体" w:hint="eastAsia"/>
          <w:bCs/>
          <w:szCs w:val="22"/>
        </w:rPr>
        <w:t>表3-3 济宁市中心城区其他类用地建设强度指标控制表</w:t>
      </w:r>
    </w:p>
    <w:tbl>
      <w:tblPr>
        <w:tblW w:w="9216" w:type="dxa"/>
        <w:tblLayout w:type="fixed"/>
        <w:tblLook w:val="04A0" w:firstRow="1" w:lastRow="0" w:firstColumn="1" w:lastColumn="0" w:noHBand="0" w:noVBand="1"/>
      </w:tblPr>
      <w:tblGrid>
        <w:gridCol w:w="1039"/>
        <w:gridCol w:w="1663"/>
        <w:gridCol w:w="3948"/>
        <w:gridCol w:w="2566"/>
      </w:tblGrid>
      <w:tr w:rsidR="00DA44CC">
        <w:trPr>
          <w:trHeight w:val="472"/>
        </w:trPr>
        <w:tc>
          <w:tcPr>
            <w:tcW w:w="2702" w:type="dxa"/>
            <w:gridSpan w:val="2"/>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用地代码</w:t>
            </w:r>
          </w:p>
        </w:tc>
        <w:tc>
          <w:tcPr>
            <w:tcW w:w="3948"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类别名称</w:t>
            </w:r>
          </w:p>
        </w:tc>
        <w:tc>
          <w:tcPr>
            <w:tcW w:w="2566"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容积率</w:t>
            </w:r>
          </w:p>
        </w:tc>
      </w:tr>
      <w:tr w:rsidR="00DA44CC">
        <w:trPr>
          <w:trHeight w:val="472"/>
        </w:trPr>
        <w:tc>
          <w:tcPr>
            <w:tcW w:w="2702" w:type="dxa"/>
            <w:gridSpan w:val="2"/>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A1</w:t>
            </w:r>
          </w:p>
        </w:tc>
        <w:tc>
          <w:tcPr>
            <w:tcW w:w="3948"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行政办公用地</w:t>
            </w:r>
          </w:p>
        </w:tc>
        <w:tc>
          <w:tcPr>
            <w:tcW w:w="2566"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R</w:t>
            </w:r>
            <w:r>
              <w:rPr>
                <w:rFonts w:ascii="Arial" w:eastAsia="黑体" w:hAnsi="Arial" w:cs="Arial" w:hint="eastAsia"/>
                <w:sz w:val="18"/>
                <w:szCs w:val="18"/>
              </w:rPr>
              <w:t>≥</w:t>
            </w:r>
            <w:r>
              <w:rPr>
                <w:rFonts w:ascii="Arial" w:eastAsia="黑体" w:hAnsi="Arial" w:cs="Arial" w:hint="eastAsia"/>
                <w:sz w:val="18"/>
                <w:szCs w:val="18"/>
              </w:rPr>
              <w:t>1.2</w:t>
            </w:r>
          </w:p>
        </w:tc>
      </w:tr>
      <w:tr w:rsidR="00DA44CC">
        <w:trPr>
          <w:trHeight w:val="397"/>
        </w:trPr>
        <w:tc>
          <w:tcPr>
            <w:tcW w:w="2702" w:type="dxa"/>
            <w:gridSpan w:val="2"/>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A2</w:t>
            </w:r>
          </w:p>
        </w:tc>
        <w:tc>
          <w:tcPr>
            <w:tcW w:w="3948"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文化设施用地</w:t>
            </w:r>
          </w:p>
        </w:tc>
        <w:tc>
          <w:tcPr>
            <w:tcW w:w="2566"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R</w:t>
            </w:r>
            <w:r>
              <w:rPr>
                <w:rFonts w:ascii="Arial" w:eastAsia="黑体" w:hAnsi="Arial" w:cs="Arial" w:hint="eastAsia"/>
                <w:sz w:val="18"/>
                <w:szCs w:val="18"/>
              </w:rPr>
              <w:t>≥</w:t>
            </w:r>
            <w:r>
              <w:rPr>
                <w:rFonts w:ascii="Arial" w:eastAsia="黑体" w:hAnsi="Arial" w:cs="Arial" w:hint="eastAsia"/>
                <w:sz w:val="18"/>
                <w:szCs w:val="18"/>
              </w:rPr>
              <w:t>0.5</w:t>
            </w:r>
          </w:p>
        </w:tc>
      </w:tr>
      <w:tr w:rsidR="00DA44CC">
        <w:trPr>
          <w:trHeight w:val="442"/>
        </w:trPr>
        <w:tc>
          <w:tcPr>
            <w:tcW w:w="2702" w:type="dxa"/>
            <w:gridSpan w:val="2"/>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lastRenderedPageBreak/>
              <w:t>A3</w:t>
            </w:r>
          </w:p>
        </w:tc>
        <w:tc>
          <w:tcPr>
            <w:tcW w:w="3948"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教育科研用地</w:t>
            </w:r>
          </w:p>
        </w:tc>
        <w:tc>
          <w:tcPr>
            <w:tcW w:w="2566"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w:t>
            </w:r>
          </w:p>
        </w:tc>
      </w:tr>
      <w:tr w:rsidR="00DA44CC">
        <w:trPr>
          <w:trHeight w:val="317"/>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其中</w:t>
            </w:r>
          </w:p>
        </w:tc>
        <w:tc>
          <w:tcPr>
            <w:tcW w:w="1663"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A31</w:t>
            </w:r>
          </w:p>
        </w:tc>
        <w:tc>
          <w:tcPr>
            <w:tcW w:w="3948"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高等院校用地</w:t>
            </w:r>
          </w:p>
        </w:tc>
        <w:tc>
          <w:tcPr>
            <w:tcW w:w="2566"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R</w:t>
            </w:r>
            <w:r>
              <w:rPr>
                <w:rFonts w:ascii="Arial" w:eastAsia="黑体" w:hAnsi="Arial" w:cs="Arial" w:hint="eastAsia"/>
                <w:sz w:val="18"/>
                <w:szCs w:val="18"/>
              </w:rPr>
              <w:t>≥</w:t>
            </w:r>
            <w:r>
              <w:rPr>
                <w:rFonts w:ascii="Arial" w:eastAsia="黑体" w:hAnsi="Arial" w:cs="Arial" w:hint="eastAsia"/>
                <w:sz w:val="18"/>
                <w:szCs w:val="18"/>
              </w:rPr>
              <w:t>0.45</w:t>
            </w:r>
          </w:p>
        </w:tc>
      </w:tr>
      <w:tr w:rsidR="00DA44CC">
        <w:trPr>
          <w:trHeight w:val="317"/>
        </w:trPr>
        <w:tc>
          <w:tcPr>
            <w:tcW w:w="1039" w:type="dxa"/>
            <w:vMerge/>
            <w:tcBorders>
              <w:top w:val="single" w:sz="4" w:space="0" w:color="auto"/>
              <w:left w:val="single" w:sz="4" w:space="0" w:color="auto"/>
              <w:bottom w:val="single" w:sz="4" w:space="0" w:color="auto"/>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A32</w:t>
            </w:r>
          </w:p>
        </w:tc>
        <w:tc>
          <w:tcPr>
            <w:tcW w:w="3948"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中等专业学校用地</w:t>
            </w:r>
          </w:p>
        </w:tc>
        <w:tc>
          <w:tcPr>
            <w:tcW w:w="2566"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R</w:t>
            </w:r>
            <w:r>
              <w:rPr>
                <w:rFonts w:ascii="Arial" w:eastAsia="黑体" w:hAnsi="Arial" w:cs="Arial" w:hint="eastAsia"/>
                <w:sz w:val="18"/>
                <w:szCs w:val="18"/>
              </w:rPr>
              <w:t>≥</w:t>
            </w:r>
            <w:r>
              <w:rPr>
                <w:rFonts w:ascii="Arial" w:eastAsia="黑体" w:hAnsi="Arial" w:cs="Arial" w:hint="eastAsia"/>
                <w:sz w:val="18"/>
                <w:szCs w:val="18"/>
              </w:rPr>
              <w:t>0.5</w:t>
            </w:r>
          </w:p>
        </w:tc>
      </w:tr>
      <w:tr w:rsidR="00DA44CC">
        <w:trPr>
          <w:trHeight w:val="317"/>
        </w:trPr>
        <w:tc>
          <w:tcPr>
            <w:tcW w:w="1039" w:type="dxa"/>
            <w:vMerge/>
            <w:tcBorders>
              <w:top w:val="single" w:sz="4" w:space="0" w:color="auto"/>
              <w:left w:val="single" w:sz="4" w:space="0" w:color="auto"/>
              <w:bottom w:val="single" w:sz="4" w:space="0" w:color="auto"/>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A33</w:t>
            </w:r>
          </w:p>
        </w:tc>
        <w:tc>
          <w:tcPr>
            <w:tcW w:w="3948"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中小学用地</w:t>
            </w:r>
          </w:p>
        </w:tc>
        <w:tc>
          <w:tcPr>
            <w:tcW w:w="2566"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w:t>
            </w:r>
          </w:p>
        </w:tc>
      </w:tr>
      <w:tr w:rsidR="00DA44CC">
        <w:trPr>
          <w:trHeight w:val="317"/>
        </w:trPr>
        <w:tc>
          <w:tcPr>
            <w:tcW w:w="1039" w:type="dxa"/>
            <w:vMerge/>
            <w:tcBorders>
              <w:top w:val="single" w:sz="4" w:space="0" w:color="auto"/>
              <w:left w:val="single" w:sz="4" w:space="0" w:color="auto"/>
              <w:bottom w:val="single" w:sz="4" w:space="0" w:color="auto"/>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A34</w:t>
            </w:r>
          </w:p>
        </w:tc>
        <w:tc>
          <w:tcPr>
            <w:tcW w:w="3948"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特殊教育用地</w:t>
            </w:r>
          </w:p>
        </w:tc>
        <w:tc>
          <w:tcPr>
            <w:tcW w:w="2566"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R</w:t>
            </w:r>
            <w:r>
              <w:rPr>
                <w:rFonts w:ascii="Arial" w:eastAsia="黑体" w:hAnsi="Arial" w:cs="Arial" w:hint="eastAsia"/>
                <w:sz w:val="18"/>
                <w:szCs w:val="18"/>
              </w:rPr>
              <w:t>≥</w:t>
            </w:r>
            <w:r>
              <w:rPr>
                <w:rFonts w:ascii="Arial" w:eastAsia="黑体" w:hAnsi="Arial" w:cs="Arial" w:hint="eastAsia"/>
                <w:sz w:val="18"/>
                <w:szCs w:val="18"/>
              </w:rPr>
              <w:t>0.65</w:t>
            </w:r>
          </w:p>
        </w:tc>
      </w:tr>
      <w:tr w:rsidR="00DA44CC">
        <w:trPr>
          <w:trHeight w:val="317"/>
        </w:trPr>
        <w:tc>
          <w:tcPr>
            <w:tcW w:w="1039" w:type="dxa"/>
            <w:vMerge/>
            <w:tcBorders>
              <w:top w:val="single" w:sz="4" w:space="0" w:color="auto"/>
              <w:left w:val="single" w:sz="4" w:space="0" w:color="auto"/>
              <w:bottom w:val="single" w:sz="4" w:space="0" w:color="auto"/>
              <w:right w:val="single" w:sz="4" w:space="0" w:color="auto"/>
            </w:tcBorders>
            <w:vAlign w:val="center"/>
          </w:tcPr>
          <w:p w:rsidR="00DA44CC" w:rsidRDefault="00DA44CC">
            <w:pPr>
              <w:adjustRightInd w:val="0"/>
              <w:snapToGrid w:val="0"/>
              <w:jc w:val="center"/>
              <w:rPr>
                <w:rFonts w:ascii="Arial" w:eastAsia="黑体" w:hAnsi="Arial" w:cs="Arial"/>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A35</w:t>
            </w:r>
          </w:p>
        </w:tc>
        <w:tc>
          <w:tcPr>
            <w:tcW w:w="3948"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科研用地</w:t>
            </w:r>
          </w:p>
        </w:tc>
        <w:tc>
          <w:tcPr>
            <w:tcW w:w="2566"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1.5</w:t>
            </w:r>
            <w:r>
              <w:rPr>
                <w:rFonts w:ascii="Arial" w:eastAsia="黑体" w:hAnsi="Arial" w:cs="Arial" w:hint="eastAsia"/>
                <w:sz w:val="18"/>
                <w:szCs w:val="18"/>
              </w:rPr>
              <w:t>≤</w:t>
            </w:r>
            <w:r>
              <w:rPr>
                <w:rFonts w:ascii="Arial" w:eastAsia="黑体" w:hAnsi="Arial" w:cs="Arial" w:hint="eastAsia"/>
                <w:sz w:val="18"/>
                <w:szCs w:val="18"/>
              </w:rPr>
              <w:t>R</w:t>
            </w:r>
            <w:r>
              <w:rPr>
                <w:rFonts w:ascii="Arial" w:eastAsia="黑体" w:hAnsi="Arial" w:cs="Arial" w:hint="eastAsia"/>
                <w:sz w:val="18"/>
                <w:szCs w:val="18"/>
              </w:rPr>
              <w:t>≤</w:t>
            </w:r>
            <w:r>
              <w:rPr>
                <w:rFonts w:ascii="Arial" w:eastAsia="黑体" w:hAnsi="Arial" w:cs="Arial" w:hint="eastAsia"/>
                <w:sz w:val="18"/>
                <w:szCs w:val="18"/>
              </w:rPr>
              <w:t>3.8</w:t>
            </w:r>
          </w:p>
        </w:tc>
      </w:tr>
      <w:tr w:rsidR="00DA44CC">
        <w:trPr>
          <w:trHeight w:val="317"/>
        </w:trPr>
        <w:tc>
          <w:tcPr>
            <w:tcW w:w="2702" w:type="dxa"/>
            <w:gridSpan w:val="2"/>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A4</w:t>
            </w:r>
          </w:p>
        </w:tc>
        <w:tc>
          <w:tcPr>
            <w:tcW w:w="3948"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体育用地</w:t>
            </w:r>
          </w:p>
        </w:tc>
        <w:tc>
          <w:tcPr>
            <w:tcW w:w="2566"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R</w:t>
            </w:r>
            <w:r>
              <w:rPr>
                <w:rFonts w:ascii="Arial" w:eastAsia="黑体" w:hAnsi="Arial" w:cs="Arial" w:hint="eastAsia"/>
                <w:sz w:val="18"/>
                <w:szCs w:val="18"/>
              </w:rPr>
              <w:t>≤</w:t>
            </w:r>
            <w:r>
              <w:rPr>
                <w:rFonts w:ascii="Arial" w:eastAsia="黑体" w:hAnsi="Arial" w:cs="Arial" w:hint="eastAsia"/>
                <w:sz w:val="18"/>
                <w:szCs w:val="18"/>
              </w:rPr>
              <w:t>0.5</w:t>
            </w:r>
          </w:p>
        </w:tc>
      </w:tr>
      <w:tr w:rsidR="00DA44CC">
        <w:trPr>
          <w:trHeight w:val="317"/>
        </w:trPr>
        <w:tc>
          <w:tcPr>
            <w:tcW w:w="2702" w:type="dxa"/>
            <w:gridSpan w:val="2"/>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A5</w:t>
            </w:r>
          </w:p>
        </w:tc>
        <w:tc>
          <w:tcPr>
            <w:tcW w:w="3948"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医疗卫生用地</w:t>
            </w:r>
          </w:p>
        </w:tc>
        <w:tc>
          <w:tcPr>
            <w:tcW w:w="2566"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0.5</w:t>
            </w:r>
            <w:r>
              <w:rPr>
                <w:rFonts w:ascii="Arial" w:eastAsia="黑体" w:hAnsi="Arial" w:cs="Arial" w:hint="eastAsia"/>
                <w:sz w:val="18"/>
                <w:szCs w:val="18"/>
              </w:rPr>
              <w:t>≤</w:t>
            </w:r>
            <w:r>
              <w:rPr>
                <w:rFonts w:ascii="Arial" w:eastAsia="黑体" w:hAnsi="Arial" w:cs="Arial" w:hint="eastAsia"/>
                <w:sz w:val="18"/>
                <w:szCs w:val="18"/>
              </w:rPr>
              <w:t>R</w:t>
            </w:r>
            <w:r>
              <w:rPr>
                <w:rFonts w:ascii="Arial" w:eastAsia="黑体" w:hAnsi="Arial" w:cs="Arial" w:hint="eastAsia"/>
                <w:sz w:val="18"/>
                <w:szCs w:val="18"/>
              </w:rPr>
              <w:t>≤</w:t>
            </w:r>
            <w:r>
              <w:rPr>
                <w:rFonts w:ascii="Arial" w:eastAsia="黑体" w:hAnsi="Arial" w:cs="Arial" w:hint="eastAsia"/>
                <w:sz w:val="18"/>
                <w:szCs w:val="18"/>
              </w:rPr>
              <w:t>2.5</w:t>
            </w:r>
          </w:p>
        </w:tc>
      </w:tr>
      <w:tr w:rsidR="00DA44CC">
        <w:trPr>
          <w:trHeight w:val="317"/>
        </w:trPr>
        <w:tc>
          <w:tcPr>
            <w:tcW w:w="2702" w:type="dxa"/>
            <w:gridSpan w:val="2"/>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A6</w:t>
            </w:r>
          </w:p>
        </w:tc>
        <w:tc>
          <w:tcPr>
            <w:tcW w:w="3948"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社会福利设施用地</w:t>
            </w:r>
          </w:p>
        </w:tc>
        <w:tc>
          <w:tcPr>
            <w:tcW w:w="2566"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R</w:t>
            </w:r>
            <w:r>
              <w:rPr>
                <w:rFonts w:ascii="Arial" w:eastAsia="黑体" w:hAnsi="Arial" w:cs="Arial" w:hint="eastAsia"/>
                <w:sz w:val="18"/>
                <w:szCs w:val="18"/>
              </w:rPr>
              <w:t>≤</w:t>
            </w:r>
            <w:r>
              <w:rPr>
                <w:rFonts w:ascii="Arial" w:eastAsia="黑体" w:hAnsi="Arial" w:cs="Arial" w:hint="eastAsia"/>
                <w:sz w:val="18"/>
                <w:szCs w:val="18"/>
              </w:rPr>
              <w:t>1.5</w:t>
            </w:r>
          </w:p>
        </w:tc>
      </w:tr>
      <w:tr w:rsidR="00DA44CC">
        <w:trPr>
          <w:trHeight w:val="317"/>
        </w:trPr>
        <w:tc>
          <w:tcPr>
            <w:tcW w:w="2702" w:type="dxa"/>
            <w:gridSpan w:val="2"/>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A7</w:t>
            </w:r>
          </w:p>
        </w:tc>
        <w:tc>
          <w:tcPr>
            <w:tcW w:w="3948"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文物古迹用地</w:t>
            </w:r>
          </w:p>
        </w:tc>
        <w:tc>
          <w:tcPr>
            <w:tcW w:w="2566"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w:t>
            </w:r>
          </w:p>
        </w:tc>
      </w:tr>
      <w:tr w:rsidR="00DA44CC">
        <w:trPr>
          <w:trHeight w:val="317"/>
        </w:trPr>
        <w:tc>
          <w:tcPr>
            <w:tcW w:w="2702" w:type="dxa"/>
            <w:gridSpan w:val="2"/>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A8</w:t>
            </w:r>
          </w:p>
        </w:tc>
        <w:tc>
          <w:tcPr>
            <w:tcW w:w="3948"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外事用地</w:t>
            </w:r>
          </w:p>
        </w:tc>
        <w:tc>
          <w:tcPr>
            <w:tcW w:w="2566"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w:t>
            </w:r>
          </w:p>
        </w:tc>
      </w:tr>
      <w:tr w:rsidR="00DA44CC">
        <w:trPr>
          <w:trHeight w:val="317"/>
        </w:trPr>
        <w:tc>
          <w:tcPr>
            <w:tcW w:w="2702" w:type="dxa"/>
            <w:gridSpan w:val="2"/>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A9</w:t>
            </w:r>
          </w:p>
        </w:tc>
        <w:tc>
          <w:tcPr>
            <w:tcW w:w="3948"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宗教设施用地</w:t>
            </w:r>
          </w:p>
        </w:tc>
        <w:tc>
          <w:tcPr>
            <w:tcW w:w="2566" w:type="dxa"/>
            <w:tcBorders>
              <w:top w:val="single" w:sz="4" w:space="0" w:color="auto"/>
              <w:left w:val="single" w:sz="4" w:space="0" w:color="auto"/>
              <w:bottom w:val="single" w:sz="4" w:space="0" w:color="auto"/>
              <w:right w:val="single" w:sz="4" w:space="0" w:color="auto"/>
            </w:tcBorders>
            <w:vAlign w:val="center"/>
          </w:tcPr>
          <w:p w:rsidR="00DA44CC" w:rsidRDefault="00C53A1B">
            <w:pPr>
              <w:adjustRightInd w:val="0"/>
              <w:snapToGrid w:val="0"/>
              <w:jc w:val="center"/>
              <w:rPr>
                <w:rFonts w:ascii="Arial" w:eastAsia="黑体" w:hAnsi="Arial" w:cs="Arial"/>
                <w:sz w:val="18"/>
                <w:szCs w:val="18"/>
              </w:rPr>
            </w:pPr>
            <w:r>
              <w:rPr>
                <w:rFonts w:ascii="Arial" w:eastAsia="黑体" w:hAnsi="Arial" w:cs="Arial" w:hint="eastAsia"/>
                <w:sz w:val="18"/>
                <w:szCs w:val="18"/>
              </w:rPr>
              <w:t>—</w:t>
            </w:r>
          </w:p>
        </w:tc>
      </w:tr>
    </w:tbl>
    <w:p w:rsidR="00DA44CC" w:rsidRDefault="00C53A1B">
      <w:pPr>
        <w:adjustRightInd w:val="0"/>
        <w:snapToGrid w:val="0"/>
        <w:spacing w:line="360" w:lineRule="auto"/>
        <w:jc w:val="left"/>
        <w:rPr>
          <w:rFonts w:ascii="Arial" w:eastAsia="黑体" w:hAnsi="Arial" w:cs="Arial"/>
          <w:sz w:val="18"/>
          <w:szCs w:val="18"/>
        </w:rPr>
      </w:pPr>
      <w:r>
        <w:rPr>
          <w:rFonts w:ascii="Arial" w:eastAsia="黑体" w:hAnsi="Arial" w:cs="Arial" w:hint="eastAsia"/>
          <w:sz w:val="18"/>
          <w:szCs w:val="18"/>
        </w:rPr>
        <w:t>注：各类用地建设强度指标除满足上表外，还需执行《山东省建设用地控制标准》（</w:t>
      </w:r>
      <w:r>
        <w:rPr>
          <w:rFonts w:ascii="Arial" w:eastAsia="黑体" w:hAnsi="Arial" w:cs="Arial" w:hint="eastAsia"/>
          <w:sz w:val="18"/>
          <w:szCs w:val="18"/>
        </w:rPr>
        <w:t>2019</w:t>
      </w:r>
      <w:r>
        <w:rPr>
          <w:rFonts w:ascii="Arial" w:eastAsia="黑体" w:hAnsi="Arial" w:cs="Arial" w:hint="eastAsia"/>
          <w:sz w:val="18"/>
          <w:szCs w:val="18"/>
        </w:rPr>
        <w:t>年版）相关规定。</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第十九条  建筑密度控制要求</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居住和商业服务业设施建设项目的建筑密度应根据所属用地类别和建设强度分区确定（详见表3-1），其他类用地建筑密度应符合相关行业管理及有关规定要求。</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第二十条  特殊情形下建设强度规定</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以下建设项目如额定容积率确难满足建设要求的，在满足日照、交通、消防、安全等相关法律、法规、规章及规范要求的前提下，建设强度指标可根据实际情况（经济测算或者城市设计等）在额定容积率的基础上适当提高。经济测算项目最终确定的容积率必须符合所在区域的交通承载力和城市设计要求，并通过方案策划论证，经规划主管部门批准，可根据实际需求确定建设强度。若交通条件不能满足的，必须根据交通条件所能允许的建设容量确定最终建设强度。</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lastRenderedPageBreak/>
        <w:t>（1）保障性住房及三旧改造（含棚户区改造）项目；</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（2）经市人民政府同意的市级及以上重大项目或其他项目；</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（3）城市重要节点、重点地段为提升城市公共服务功能需</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适当提高容积率的项目；</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（4）法律、法规、规章规定的其他情形。</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第二十一条  特殊区域建设强度规定</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对于历史文化街区及传统风貌街区建设控制地带范围内的用地，应通过街区（地段）保护规划确定建设强度、建设密度。</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对于城市重点地段、重要功能区范围内的商业服务业设施用地，可通过整体城市设计或者规划论证后确定建设强度、建设密度、建筑高度。</w:t>
      </w:r>
    </w:p>
    <w:p w:rsidR="00DA44CC" w:rsidRDefault="00DA44CC">
      <w:pPr>
        <w:adjustRightInd w:val="0"/>
        <w:snapToGrid w:val="0"/>
        <w:spacing w:line="600" w:lineRule="exact"/>
        <w:jc w:val="center"/>
        <w:rPr>
          <w:rFonts w:ascii="方正黑体简体" w:eastAsia="方正黑体简体" w:hAnsi="宋体" w:cs="黑体"/>
          <w:color w:val="000000"/>
          <w:sz w:val="32"/>
          <w:szCs w:val="32"/>
        </w:rPr>
      </w:pPr>
    </w:p>
    <w:p w:rsidR="00DA44CC" w:rsidRDefault="00C53A1B">
      <w:pPr>
        <w:adjustRightInd w:val="0"/>
        <w:snapToGrid w:val="0"/>
        <w:spacing w:line="60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第四章  公共服务设施</w:t>
      </w:r>
    </w:p>
    <w:p w:rsidR="00DA44CC" w:rsidRDefault="00DA44CC">
      <w:pPr>
        <w:adjustRightInd w:val="0"/>
        <w:snapToGrid w:val="0"/>
        <w:spacing w:line="600" w:lineRule="exact"/>
        <w:jc w:val="center"/>
        <w:rPr>
          <w:rFonts w:ascii="方正黑体简体" w:eastAsia="方正黑体简体" w:hAnsi="宋体" w:cs="黑体"/>
          <w:color w:val="000000"/>
          <w:sz w:val="32"/>
          <w:szCs w:val="32"/>
        </w:rPr>
      </w:pPr>
    </w:p>
    <w:p w:rsidR="00DA44CC" w:rsidRDefault="00C53A1B">
      <w:pPr>
        <w:adjustRightInd w:val="0"/>
        <w:snapToGrid w:val="0"/>
        <w:spacing w:line="60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第一节  一般规定</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第二十二条  基本要求</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1.公共服务设施包括市级、区级、居住区级三个等级。</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2.控规应落实上位规划确定的市级、区级公共服务设施，包括文化设施用地、教育设施用地、体育用地、医疗卫生用地、社会福利用地等。</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3.应依据规划居住人口配置居住区级公共服务设施，居住区</w:t>
      </w:r>
      <w:r>
        <w:rPr>
          <w:rFonts w:ascii="方正仿宋简体" w:eastAsia="方正仿宋简体" w:hAnsi="宋体" w:cs="仿宋_GB2312" w:hint="eastAsia"/>
          <w:color w:val="000000"/>
          <w:sz w:val="32"/>
          <w:szCs w:val="32"/>
        </w:rPr>
        <w:lastRenderedPageBreak/>
        <w:t>公共服务设施包括十五分钟生活圈居住区与十分钟生活圈居住区的公共管理与公共服务设施、商业金融设施，以及五分钟生活圈居住区与居住街坊的社区服务设施、便民服务设施。若规划人口少于现状人口，应在规划期内考虑公共服务设施的过渡衔接。</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4.居住区级公共服务设施鼓励集约用地的合建模式，并留有一定的发展弹性。</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5.根据片区人口结构和现状用地特点，公共服务设施可进行差异化配置。</w:t>
      </w:r>
    </w:p>
    <w:p w:rsidR="00DA44CC" w:rsidRDefault="00DA44CC">
      <w:pPr>
        <w:adjustRightInd w:val="0"/>
        <w:snapToGrid w:val="0"/>
        <w:spacing w:line="600" w:lineRule="exact"/>
        <w:ind w:firstLineChars="200" w:firstLine="640"/>
        <w:rPr>
          <w:rFonts w:ascii="方正仿宋简体" w:eastAsia="方正仿宋简体" w:hAnsi="宋体" w:cs="仿宋_GB2312"/>
          <w:color w:val="000000"/>
          <w:sz w:val="32"/>
          <w:szCs w:val="32"/>
        </w:rPr>
      </w:pPr>
    </w:p>
    <w:p w:rsidR="00DA44CC" w:rsidRDefault="00C53A1B">
      <w:pPr>
        <w:adjustRightInd w:val="0"/>
        <w:snapToGrid w:val="0"/>
        <w:spacing w:line="60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第二节  市、区级公共服务设施</w:t>
      </w:r>
    </w:p>
    <w:p w:rsidR="00DA44CC" w:rsidRDefault="00DA44CC">
      <w:pPr>
        <w:adjustRightInd w:val="0"/>
        <w:snapToGrid w:val="0"/>
        <w:spacing w:line="600" w:lineRule="exact"/>
        <w:jc w:val="center"/>
        <w:rPr>
          <w:rFonts w:ascii="方正黑体简体" w:eastAsia="方正黑体简体" w:hAnsi="宋体" w:cs="黑体"/>
          <w:color w:val="000000"/>
          <w:sz w:val="32"/>
          <w:szCs w:val="32"/>
        </w:rPr>
      </w:pP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第二十三条  文化设施</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市级文化设施一般包括图书馆、档案馆、文化馆、博物馆、科技馆、文化活动中心、展览馆、美术馆、影剧院等内容。其中图书馆、文化馆与文化活动中心为强制建设项目。区级文化设施强制建设项目为图书馆与文化馆，其他场馆可以根据各区自身情况选择性建设。具体配置要求如表4-1所示。</w:t>
      </w:r>
    </w:p>
    <w:p w:rsidR="00DA44CC" w:rsidRDefault="00C53A1B">
      <w:pPr>
        <w:spacing w:line="360" w:lineRule="auto"/>
        <w:jc w:val="center"/>
        <w:rPr>
          <w:rFonts w:ascii="黑体" w:eastAsia="黑体" w:hAnsi="黑体"/>
        </w:rPr>
      </w:pPr>
      <w:r>
        <w:rPr>
          <w:rFonts w:ascii="黑体" w:eastAsia="黑体" w:hAnsi="黑体" w:hint="eastAsia"/>
        </w:rPr>
        <w:t>表4-1市区级文化设施配建标准</w:t>
      </w:r>
    </w:p>
    <w:tbl>
      <w:tblPr>
        <w:tblW w:w="92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79"/>
        <w:gridCol w:w="765"/>
        <w:gridCol w:w="610"/>
        <w:gridCol w:w="708"/>
        <w:gridCol w:w="1417"/>
        <w:gridCol w:w="1417"/>
        <w:gridCol w:w="3720"/>
      </w:tblGrid>
      <w:tr w:rsidR="00DA44CC" w:rsidTr="00D43F73">
        <w:trPr>
          <w:trHeight w:val="522"/>
        </w:trPr>
        <w:tc>
          <w:tcPr>
            <w:tcW w:w="579"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级别</w:t>
            </w:r>
          </w:p>
        </w:tc>
        <w:tc>
          <w:tcPr>
            <w:tcW w:w="765"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分类</w:t>
            </w:r>
          </w:p>
        </w:tc>
        <w:tc>
          <w:tcPr>
            <w:tcW w:w="1318" w:type="dxa"/>
            <w:gridSpan w:val="2"/>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项目名称</w:t>
            </w:r>
          </w:p>
        </w:tc>
        <w:tc>
          <w:tcPr>
            <w:tcW w:w="2834" w:type="dxa"/>
            <w:gridSpan w:val="2"/>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一般规模（㎡/处）</w:t>
            </w:r>
          </w:p>
        </w:tc>
        <w:tc>
          <w:tcPr>
            <w:tcW w:w="3720"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配置内容</w:t>
            </w:r>
          </w:p>
        </w:tc>
      </w:tr>
      <w:tr w:rsidR="00DA44CC" w:rsidTr="00D43F73">
        <w:trPr>
          <w:trHeight w:val="706"/>
        </w:trPr>
        <w:tc>
          <w:tcPr>
            <w:tcW w:w="579" w:type="dxa"/>
            <w:vMerge/>
            <w:vAlign w:val="center"/>
          </w:tcPr>
          <w:p w:rsidR="00DA44CC" w:rsidRDefault="00DA44CC">
            <w:pPr>
              <w:adjustRightInd w:val="0"/>
              <w:snapToGrid w:val="0"/>
              <w:spacing w:line="240" w:lineRule="atLeast"/>
              <w:rPr>
                <w:rFonts w:ascii="黑体" w:eastAsia="黑体" w:hAnsi="黑体"/>
                <w:sz w:val="18"/>
                <w:szCs w:val="18"/>
              </w:rPr>
            </w:pPr>
          </w:p>
        </w:tc>
        <w:tc>
          <w:tcPr>
            <w:tcW w:w="765" w:type="dxa"/>
            <w:vMerge/>
            <w:vAlign w:val="center"/>
          </w:tcPr>
          <w:p w:rsidR="00DA44CC" w:rsidRDefault="00DA44CC">
            <w:pPr>
              <w:adjustRightInd w:val="0"/>
              <w:snapToGrid w:val="0"/>
              <w:spacing w:line="240" w:lineRule="atLeast"/>
              <w:rPr>
                <w:rFonts w:ascii="黑体" w:eastAsia="黑体" w:hAnsi="黑体"/>
                <w:sz w:val="18"/>
                <w:szCs w:val="18"/>
              </w:rPr>
            </w:pPr>
          </w:p>
        </w:tc>
        <w:tc>
          <w:tcPr>
            <w:tcW w:w="1318" w:type="dxa"/>
            <w:gridSpan w:val="2"/>
            <w:vMerge/>
            <w:vAlign w:val="center"/>
          </w:tcPr>
          <w:p w:rsidR="00DA44CC" w:rsidRDefault="00DA44CC">
            <w:pPr>
              <w:adjustRightInd w:val="0"/>
              <w:snapToGrid w:val="0"/>
              <w:spacing w:line="240" w:lineRule="atLeast"/>
              <w:rPr>
                <w:rFonts w:ascii="黑体" w:eastAsia="黑体" w:hAnsi="黑体"/>
                <w:sz w:val="18"/>
                <w:szCs w:val="18"/>
              </w:rPr>
            </w:pP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建筑面积</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用地面积</w:t>
            </w:r>
          </w:p>
        </w:tc>
        <w:tc>
          <w:tcPr>
            <w:tcW w:w="3720" w:type="dxa"/>
            <w:vMerge/>
            <w:vAlign w:val="center"/>
          </w:tcPr>
          <w:p w:rsidR="00DA44CC" w:rsidRDefault="00DA44CC">
            <w:pPr>
              <w:adjustRightInd w:val="0"/>
              <w:snapToGrid w:val="0"/>
              <w:spacing w:line="240" w:lineRule="atLeast"/>
              <w:rPr>
                <w:rFonts w:ascii="黑体" w:eastAsia="黑体" w:hAnsi="黑体"/>
                <w:sz w:val="18"/>
                <w:szCs w:val="18"/>
              </w:rPr>
            </w:pPr>
          </w:p>
        </w:tc>
      </w:tr>
      <w:tr w:rsidR="00DA44CC" w:rsidTr="00D43F73">
        <w:trPr>
          <w:trHeight w:val="628"/>
        </w:trPr>
        <w:tc>
          <w:tcPr>
            <w:tcW w:w="579"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市级</w:t>
            </w:r>
          </w:p>
        </w:tc>
        <w:tc>
          <w:tcPr>
            <w:tcW w:w="765"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强制建设内容</w:t>
            </w:r>
          </w:p>
        </w:tc>
        <w:tc>
          <w:tcPr>
            <w:tcW w:w="1318" w:type="dxa"/>
            <w:gridSpan w:val="2"/>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图书馆</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20000-30000</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40000</w:t>
            </w:r>
          </w:p>
        </w:tc>
        <w:tc>
          <w:tcPr>
            <w:tcW w:w="3720"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藏书量200万册以上，阅览座位按照5～10座/万册设阅览席。</w:t>
            </w:r>
          </w:p>
        </w:tc>
      </w:tr>
      <w:tr w:rsidR="00DA44CC">
        <w:trPr>
          <w:trHeight w:val="545"/>
        </w:trPr>
        <w:tc>
          <w:tcPr>
            <w:tcW w:w="579" w:type="dxa"/>
            <w:vMerge/>
            <w:vAlign w:val="center"/>
          </w:tcPr>
          <w:p w:rsidR="00DA44CC" w:rsidRDefault="00DA44CC">
            <w:pPr>
              <w:adjustRightInd w:val="0"/>
              <w:snapToGrid w:val="0"/>
              <w:spacing w:line="240" w:lineRule="atLeast"/>
              <w:rPr>
                <w:rFonts w:ascii="黑体" w:eastAsia="黑体" w:hAnsi="黑体"/>
                <w:sz w:val="18"/>
                <w:szCs w:val="18"/>
              </w:rPr>
            </w:pPr>
          </w:p>
        </w:tc>
        <w:tc>
          <w:tcPr>
            <w:tcW w:w="765" w:type="dxa"/>
            <w:vMerge/>
            <w:vAlign w:val="center"/>
          </w:tcPr>
          <w:p w:rsidR="00DA44CC" w:rsidRDefault="00DA44CC">
            <w:pPr>
              <w:adjustRightInd w:val="0"/>
              <w:snapToGrid w:val="0"/>
              <w:spacing w:line="240" w:lineRule="atLeast"/>
              <w:rPr>
                <w:rFonts w:ascii="黑体" w:eastAsia="黑体" w:hAnsi="黑体"/>
                <w:sz w:val="18"/>
                <w:szCs w:val="18"/>
              </w:rPr>
            </w:pPr>
          </w:p>
        </w:tc>
        <w:tc>
          <w:tcPr>
            <w:tcW w:w="1318" w:type="dxa"/>
            <w:gridSpan w:val="2"/>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文化馆</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10000-30000</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10000-30000</w:t>
            </w:r>
          </w:p>
        </w:tc>
        <w:tc>
          <w:tcPr>
            <w:tcW w:w="3720"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群众活动（观演、游艺、交谊、展览、阅览）、学习辅导、专业工作、行政管理。</w:t>
            </w:r>
          </w:p>
        </w:tc>
      </w:tr>
      <w:tr w:rsidR="00DA44CC">
        <w:tc>
          <w:tcPr>
            <w:tcW w:w="579" w:type="dxa"/>
            <w:vMerge/>
            <w:vAlign w:val="center"/>
          </w:tcPr>
          <w:p w:rsidR="00DA44CC" w:rsidRDefault="00DA44CC">
            <w:pPr>
              <w:adjustRightInd w:val="0"/>
              <w:snapToGrid w:val="0"/>
              <w:spacing w:line="240" w:lineRule="atLeast"/>
              <w:rPr>
                <w:rFonts w:ascii="黑体" w:eastAsia="黑体" w:hAnsi="黑体"/>
                <w:sz w:val="18"/>
                <w:szCs w:val="18"/>
              </w:rPr>
            </w:pPr>
          </w:p>
        </w:tc>
        <w:tc>
          <w:tcPr>
            <w:tcW w:w="765" w:type="dxa"/>
            <w:vMerge/>
            <w:vAlign w:val="center"/>
          </w:tcPr>
          <w:p w:rsidR="00DA44CC" w:rsidRDefault="00DA44CC">
            <w:pPr>
              <w:adjustRightInd w:val="0"/>
              <w:snapToGrid w:val="0"/>
              <w:spacing w:line="240" w:lineRule="atLeast"/>
              <w:rPr>
                <w:rFonts w:ascii="黑体" w:eastAsia="黑体" w:hAnsi="黑体"/>
                <w:sz w:val="18"/>
                <w:szCs w:val="18"/>
              </w:rPr>
            </w:pPr>
          </w:p>
        </w:tc>
        <w:tc>
          <w:tcPr>
            <w:tcW w:w="610"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文化活动中心</w:t>
            </w:r>
          </w:p>
        </w:tc>
        <w:tc>
          <w:tcPr>
            <w:tcW w:w="70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青少年宫</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36600</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91500</w:t>
            </w:r>
          </w:p>
        </w:tc>
        <w:tc>
          <w:tcPr>
            <w:tcW w:w="3720"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青少年观演、课外兴趣小组活动、教育培训、游艺、阅览、行政管理。</w:t>
            </w:r>
          </w:p>
        </w:tc>
      </w:tr>
      <w:tr w:rsidR="00DA44CC">
        <w:tc>
          <w:tcPr>
            <w:tcW w:w="579" w:type="dxa"/>
            <w:vMerge/>
            <w:vAlign w:val="center"/>
          </w:tcPr>
          <w:p w:rsidR="00DA44CC" w:rsidRDefault="00DA44CC">
            <w:pPr>
              <w:adjustRightInd w:val="0"/>
              <w:snapToGrid w:val="0"/>
              <w:spacing w:line="240" w:lineRule="atLeast"/>
              <w:rPr>
                <w:rFonts w:ascii="黑体" w:eastAsia="黑体" w:hAnsi="黑体"/>
                <w:sz w:val="18"/>
                <w:szCs w:val="18"/>
              </w:rPr>
            </w:pPr>
          </w:p>
        </w:tc>
        <w:tc>
          <w:tcPr>
            <w:tcW w:w="765" w:type="dxa"/>
            <w:vMerge/>
            <w:vAlign w:val="center"/>
          </w:tcPr>
          <w:p w:rsidR="00DA44CC" w:rsidRDefault="00DA44CC">
            <w:pPr>
              <w:adjustRightInd w:val="0"/>
              <w:snapToGrid w:val="0"/>
              <w:spacing w:line="240" w:lineRule="atLeast"/>
              <w:rPr>
                <w:rFonts w:ascii="黑体" w:eastAsia="黑体" w:hAnsi="黑体"/>
                <w:sz w:val="18"/>
                <w:szCs w:val="18"/>
              </w:rPr>
            </w:pPr>
          </w:p>
        </w:tc>
        <w:tc>
          <w:tcPr>
            <w:tcW w:w="610" w:type="dxa"/>
            <w:vMerge/>
            <w:vAlign w:val="center"/>
          </w:tcPr>
          <w:p w:rsidR="00DA44CC" w:rsidRDefault="00DA44CC">
            <w:pPr>
              <w:adjustRightInd w:val="0"/>
              <w:snapToGrid w:val="0"/>
              <w:spacing w:line="240" w:lineRule="atLeast"/>
              <w:rPr>
                <w:rFonts w:ascii="黑体" w:eastAsia="黑体" w:hAnsi="黑体"/>
                <w:sz w:val="18"/>
                <w:szCs w:val="18"/>
              </w:rPr>
            </w:pPr>
          </w:p>
        </w:tc>
        <w:tc>
          <w:tcPr>
            <w:tcW w:w="70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其他类</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36600</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61000</w:t>
            </w:r>
          </w:p>
        </w:tc>
        <w:tc>
          <w:tcPr>
            <w:tcW w:w="3720"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老年活动中心、工人文化宫、妇女儿童活动中心等。</w:t>
            </w:r>
          </w:p>
        </w:tc>
      </w:tr>
      <w:tr w:rsidR="00DA44CC">
        <w:tc>
          <w:tcPr>
            <w:tcW w:w="579" w:type="dxa"/>
            <w:vMerge/>
            <w:vAlign w:val="center"/>
          </w:tcPr>
          <w:p w:rsidR="00DA44CC" w:rsidRDefault="00DA44CC">
            <w:pPr>
              <w:adjustRightInd w:val="0"/>
              <w:snapToGrid w:val="0"/>
              <w:spacing w:line="240" w:lineRule="atLeast"/>
              <w:rPr>
                <w:rFonts w:ascii="黑体" w:eastAsia="黑体" w:hAnsi="黑体"/>
                <w:sz w:val="18"/>
                <w:szCs w:val="18"/>
              </w:rPr>
            </w:pPr>
          </w:p>
        </w:tc>
        <w:tc>
          <w:tcPr>
            <w:tcW w:w="765"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选择建设内容</w:t>
            </w:r>
          </w:p>
        </w:tc>
        <w:tc>
          <w:tcPr>
            <w:tcW w:w="1318" w:type="dxa"/>
            <w:gridSpan w:val="2"/>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博物馆</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10000-40000</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10000-40000</w:t>
            </w:r>
          </w:p>
        </w:tc>
        <w:tc>
          <w:tcPr>
            <w:tcW w:w="3720"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陈列展览、文物标本库藏、科学研究、业务和行政办公及观众服务设施。</w:t>
            </w:r>
          </w:p>
        </w:tc>
      </w:tr>
      <w:tr w:rsidR="00DA44CC">
        <w:tc>
          <w:tcPr>
            <w:tcW w:w="579" w:type="dxa"/>
            <w:vMerge/>
            <w:vAlign w:val="center"/>
          </w:tcPr>
          <w:p w:rsidR="00DA44CC" w:rsidRDefault="00DA44CC">
            <w:pPr>
              <w:adjustRightInd w:val="0"/>
              <w:snapToGrid w:val="0"/>
              <w:spacing w:line="240" w:lineRule="atLeast"/>
              <w:rPr>
                <w:rFonts w:ascii="黑体" w:eastAsia="黑体" w:hAnsi="黑体"/>
                <w:sz w:val="18"/>
                <w:szCs w:val="18"/>
              </w:rPr>
            </w:pPr>
          </w:p>
        </w:tc>
        <w:tc>
          <w:tcPr>
            <w:tcW w:w="765" w:type="dxa"/>
            <w:vMerge/>
            <w:vAlign w:val="center"/>
          </w:tcPr>
          <w:p w:rsidR="00DA44CC" w:rsidRDefault="00DA44CC">
            <w:pPr>
              <w:adjustRightInd w:val="0"/>
              <w:snapToGrid w:val="0"/>
              <w:spacing w:line="240" w:lineRule="atLeast"/>
              <w:rPr>
                <w:rFonts w:ascii="黑体" w:eastAsia="黑体" w:hAnsi="黑体"/>
                <w:sz w:val="18"/>
                <w:szCs w:val="18"/>
              </w:rPr>
            </w:pPr>
          </w:p>
        </w:tc>
        <w:tc>
          <w:tcPr>
            <w:tcW w:w="1318" w:type="dxa"/>
            <w:gridSpan w:val="2"/>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档案馆</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8800-10800</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8800-10800</w:t>
            </w:r>
          </w:p>
        </w:tc>
        <w:tc>
          <w:tcPr>
            <w:tcW w:w="3720"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接收和征集档案以及有关资料，科学地管理；积极开展档案资料的利用工作。</w:t>
            </w:r>
          </w:p>
        </w:tc>
      </w:tr>
      <w:tr w:rsidR="00DA44CC">
        <w:tc>
          <w:tcPr>
            <w:tcW w:w="579" w:type="dxa"/>
            <w:vMerge/>
            <w:vAlign w:val="center"/>
          </w:tcPr>
          <w:p w:rsidR="00DA44CC" w:rsidRDefault="00DA44CC">
            <w:pPr>
              <w:adjustRightInd w:val="0"/>
              <w:snapToGrid w:val="0"/>
              <w:spacing w:line="240" w:lineRule="atLeast"/>
              <w:rPr>
                <w:rFonts w:ascii="黑体" w:eastAsia="黑体" w:hAnsi="黑体"/>
                <w:sz w:val="18"/>
                <w:szCs w:val="18"/>
              </w:rPr>
            </w:pPr>
          </w:p>
        </w:tc>
        <w:tc>
          <w:tcPr>
            <w:tcW w:w="765" w:type="dxa"/>
            <w:vMerge/>
            <w:vAlign w:val="center"/>
          </w:tcPr>
          <w:p w:rsidR="00DA44CC" w:rsidRDefault="00DA44CC">
            <w:pPr>
              <w:adjustRightInd w:val="0"/>
              <w:snapToGrid w:val="0"/>
              <w:spacing w:line="240" w:lineRule="atLeast"/>
              <w:rPr>
                <w:rFonts w:ascii="黑体" w:eastAsia="黑体" w:hAnsi="黑体"/>
                <w:sz w:val="18"/>
                <w:szCs w:val="18"/>
              </w:rPr>
            </w:pPr>
          </w:p>
        </w:tc>
        <w:tc>
          <w:tcPr>
            <w:tcW w:w="1318" w:type="dxa"/>
            <w:gridSpan w:val="2"/>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科技馆</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15000-30000</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15000-30000</w:t>
            </w:r>
          </w:p>
        </w:tc>
        <w:tc>
          <w:tcPr>
            <w:tcW w:w="372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r>
      <w:tr w:rsidR="00DA44CC">
        <w:tc>
          <w:tcPr>
            <w:tcW w:w="579" w:type="dxa"/>
            <w:vMerge/>
            <w:vAlign w:val="center"/>
          </w:tcPr>
          <w:p w:rsidR="00DA44CC" w:rsidRDefault="00DA44CC">
            <w:pPr>
              <w:adjustRightInd w:val="0"/>
              <w:snapToGrid w:val="0"/>
              <w:spacing w:line="240" w:lineRule="atLeast"/>
              <w:rPr>
                <w:rFonts w:ascii="黑体" w:eastAsia="黑体" w:hAnsi="黑体"/>
                <w:sz w:val="18"/>
                <w:szCs w:val="18"/>
              </w:rPr>
            </w:pPr>
          </w:p>
        </w:tc>
        <w:tc>
          <w:tcPr>
            <w:tcW w:w="765" w:type="dxa"/>
            <w:vMerge/>
            <w:vAlign w:val="center"/>
          </w:tcPr>
          <w:p w:rsidR="00DA44CC" w:rsidRDefault="00DA44CC">
            <w:pPr>
              <w:adjustRightInd w:val="0"/>
              <w:snapToGrid w:val="0"/>
              <w:spacing w:line="240" w:lineRule="atLeast"/>
              <w:rPr>
                <w:rFonts w:ascii="黑体" w:eastAsia="黑体" w:hAnsi="黑体"/>
                <w:sz w:val="18"/>
                <w:szCs w:val="18"/>
              </w:rPr>
            </w:pPr>
          </w:p>
        </w:tc>
        <w:tc>
          <w:tcPr>
            <w:tcW w:w="1318" w:type="dxa"/>
            <w:gridSpan w:val="2"/>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展览馆</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10000-40000</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10000-40000</w:t>
            </w:r>
          </w:p>
        </w:tc>
        <w:tc>
          <w:tcPr>
            <w:tcW w:w="372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r>
      <w:tr w:rsidR="00DA44CC">
        <w:tc>
          <w:tcPr>
            <w:tcW w:w="579" w:type="dxa"/>
            <w:vMerge/>
            <w:vAlign w:val="center"/>
          </w:tcPr>
          <w:p w:rsidR="00DA44CC" w:rsidRDefault="00DA44CC">
            <w:pPr>
              <w:adjustRightInd w:val="0"/>
              <w:snapToGrid w:val="0"/>
              <w:spacing w:line="240" w:lineRule="atLeast"/>
              <w:rPr>
                <w:rFonts w:ascii="黑体" w:eastAsia="黑体" w:hAnsi="黑体"/>
                <w:sz w:val="18"/>
                <w:szCs w:val="18"/>
              </w:rPr>
            </w:pPr>
          </w:p>
        </w:tc>
        <w:tc>
          <w:tcPr>
            <w:tcW w:w="765" w:type="dxa"/>
            <w:vMerge/>
            <w:vAlign w:val="center"/>
          </w:tcPr>
          <w:p w:rsidR="00DA44CC" w:rsidRDefault="00DA44CC">
            <w:pPr>
              <w:adjustRightInd w:val="0"/>
              <w:snapToGrid w:val="0"/>
              <w:spacing w:line="240" w:lineRule="atLeast"/>
              <w:rPr>
                <w:rFonts w:ascii="黑体" w:eastAsia="黑体" w:hAnsi="黑体"/>
                <w:sz w:val="18"/>
                <w:szCs w:val="18"/>
              </w:rPr>
            </w:pPr>
          </w:p>
        </w:tc>
        <w:tc>
          <w:tcPr>
            <w:tcW w:w="1318" w:type="dxa"/>
            <w:gridSpan w:val="2"/>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美术馆</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8000</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13500</w:t>
            </w:r>
          </w:p>
        </w:tc>
        <w:tc>
          <w:tcPr>
            <w:tcW w:w="372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r>
      <w:tr w:rsidR="00DA44CC">
        <w:tc>
          <w:tcPr>
            <w:tcW w:w="579"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区级</w:t>
            </w:r>
          </w:p>
        </w:tc>
        <w:tc>
          <w:tcPr>
            <w:tcW w:w="765"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强制建设内容</w:t>
            </w:r>
          </w:p>
        </w:tc>
        <w:tc>
          <w:tcPr>
            <w:tcW w:w="1318" w:type="dxa"/>
            <w:gridSpan w:val="2"/>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图书馆</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5500-12500</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4500-10500</w:t>
            </w:r>
          </w:p>
        </w:tc>
        <w:tc>
          <w:tcPr>
            <w:tcW w:w="372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r>
      <w:tr w:rsidR="00DA44CC">
        <w:tc>
          <w:tcPr>
            <w:tcW w:w="579" w:type="dxa"/>
            <w:vMerge/>
            <w:vAlign w:val="center"/>
          </w:tcPr>
          <w:p w:rsidR="00DA44CC" w:rsidRDefault="00DA44CC">
            <w:pPr>
              <w:adjustRightInd w:val="0"/>
              <w:snapToGrid w:val="0"/>
              <w:spacing w:line="240" w:lineRule="atLeast"/>
              <w:rPr>
                <w:rFonts w:ascii="黑体" w:eastAsia="黑体" w:hAnsi="黑体"/>
                <w:sz w:val="18"/>
                <w:szCs w:val="18"/>
              </w:rPr>
            </w:pPr>
          </w:p>
        </w:tc>
        <w:tc>
          <w:tcPr>
            <w:tcW w:w="765" w:type="dxa"/>
            <w:vMerge/>
            <w:vAlign w:val="center"/>
          </w:tcPr>
          <w:p w:rsidR="00DA44CC" w:rsidRDefault="00DA44CC">
            <w:pPr>
              <w:adjustRightInd w:val="0"/>
              <w:snapToGrid w:val="0"/>
              <w:spacing w:line="240" w:lineRule="atLeast"/>
              <w:rPr>
                <w:rFonts w:ascii="黑体" w:eastAsia="黑体" w:hAnsi="黑体"/>
                <w:sz w:val="18"/>
                <w:szCs w:val="18"/>
              </w:rPr>
            </w:pPr>
          </w:p>
        </w:tc>
        <w:tc>
          <w:tcPr>
            <w:tcW w:w="1318" w:type="dxa"/>
            <w:gridSpan w:val="2"/>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文化馆</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4000-8000</w:t>
            </w:r>
          </w:p>
        </w:tc>
        <w:tc>
          <w:tcPr>
            <w:tcW w:w="141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4000-13500</w:t>
            </w:r>
          </w:p>
        </w:tc>
        <w:tc>
          <w:tcPr>
            <w:tcW w:w="372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r>
    </w:tbl>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第二十四条  教育设施</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市级教育设施内容包括中等专业学校用地。区级教育设施内容包括特殊教育用地，如盲校、聋校、培智学校、素质教育培训基地等。具体配置要求如表4-2所示。</w:t>
      </w:r>
    </w:p>
    <w:p w:rsidR="00DA44CC" w:rsidRDefault="00C53A1B">
      <w:pPr>
        <w:spacing w:line="360" w:lineRule="auto"/>
        <w:jc w:val="center"/>
        <w:rPr>
          <w:rFonts w:ascii="黑体" w:eastAsia="黑体" w:hAnsi="黑体"/>
        </w:rPr>
      </w:pPr>
      <w:r>
        <w:rPr>
          <w:rFonts w:ascii="黑体" w:eastAsia="黑体" w:hAnsi="黑体" w:hint="eastAsia"/>
        </w:rPr>
        <w:t>表4-2市区级教育设施配建标准</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2265"/>
        <w:gridCol w:w="995"/>
        <w:gridCol w:w="995"/>
        <w:gridCol w:w="1001"/>
        <w:gridCol w:w="995"/>
        <w:gridCol w:w="994"/>
        <w:gridCol w:w="992"/>
      </w:tblGrid>
      <w:tr w:rsidR="00DA44CC">
        <w:trPr>
          <w:trHeight w:val="644"/>
          <w:jc w:val="center"/>
        </w:trPr>
        <w:tc>
          <w:tcPr>
            <w:tcW w:w="1043" w:type="dxa"/>
            <w:vMerge w:val="restart"/>
            <w:tcBorders>
              <w:top w:val="single" w:sz="12" w:space="0" w:color="auto"/>
              <w:left w:val="single" w:sz="12" w:space="0" w:color="auto"/>
            </w:tcBorders>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学校</w:t>
            </w:r>
          </w:p>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类别</w:t>
            </w:r>
          </w:p>
        </w:tc>
        <w:tc>
          <w:tcPr>
            <w:tcW w:w="2265" w:type="dxa"/>
            <w:vMerge w:val="restart"/>
            <w:tcBorders>
              <w:top w:val="single" w:sz="12" w:space="0" w:color="auto"/>
            </w:tcBorders>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项目名称</w:t>
            </w:r>
          </w:p>
        </w:tc>
        <w:tc>
          <w:tcPr>
            <w:tcW w:w="2991" w:type="dxa"/>
            <w:gridSpan w:val="3"/>
            <w:tcBorders>
              <w:top w:val="single" w:sz="12" w:space="0" w:color="auto"/>
            </w:tcBorders>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基本指标</w:t>
            </w:r>
          </w:p>
        </w:tc>
        <w:tc>
          <w:tcPr>
            <w:tcW w:w="2981" w:type="dxa"/>
            <w:gridSpan w:val="3"/>
            <w:tcBorders>
              <w:top w:val="single" w:sz="12" w:space="0" w:color="auto"/>
              <w:right w:val="single" w:sz="12" w:space="0" w:color="auto"/>
            </w:tcBorders>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规划指标</w:t>
            </w:r>
          </w:p>
        </w:tc>
      </w:tr>
      <w:tr w:rsidR="00DA44CC">
        <w:trPr>
          <w:trHeight w:val="481"/>
          <w:jc w:val="center"/>
        </w:trPr>
        <w:tc>
          <w:tcPr>
            <w:tcW w:w="1043" w:type="dxa"/>
            <w:vMerge/>
            <w:tcBorders>
              <w:left w:val="single" w:sz="12" w:space="0" w:color="auto"/>
            </w:tcBorders>
          </w:tcPr>
          <w:p w:rsidR="00DA44CC" w:rsidRDefault="00DA44CC">
            <w:pPr>
              <w:adjustRightInd w:val="0"/>
              <w:snapToGrid w:val="0"/>
              <w:spacing w:line="240" w:lineRule="atLeast"/>
              <w:rPr>
                <w:rFonts w:ascii="黑体" w:eastAsia="黑体" w:hAnsi="黑体"/>
                <w:sz w:val="18"/>
                <w:szCs w:val="18"/>
              </w:rPr>
            </w:pPr>
          </w:p>
        </w:tc>
        <w:tc>
          <w:tcPr>
            <w:tcW w:w="2265" w:type="dxa"/>
            <w:vMerge/>
          </w:tcPr>
          <w:p w:rsidR="00DA44CC" w:rsidRDefault="00DA44CC">
            <w:pPr>
              <w:adjustRightInd w:val="0"/>
              <w:snapToGrid w:val="0"/>
              <w:spacing w:line="240" w:lineRule="atLeast"/>
              <w:rPr>
                <w:rFonts w:ascii="黑体" w:eastAsia="黑体" w:hAnsi="黑体"/>
                <w:sz w:val="18"/>
                <w:szCs w:val="18"/>
              </w:rPr>
            </w:pPr>
          </w:p>
        </w:tc>
        <w:tc>
          <w:tcPr>
            <w:tcW w:w="995" w:type="dxa"/>
            <w:tcBorders>
              <w:bottom w:val="single" w:sz="8" w:space="0" w:color="auto"/>
            </w:tcBorders>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9班</w:t>
            </w:r>
          </w:p>
        </w:tc>
        <w:tc>
          <w:tcPr>
            <w:tcW w:w="995" w:type="dxa"/>
            <w:tcBorders>
              <w:bottom w:val="single" w:sz="8" w:space="0" w:color="auto"/>
            </w:tcBorders>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18班</w:t>
            </w:r>
          </w:p>
        </w:tc>
        <w:tc>
          <w:tcPr>
            <w:tcW w:w="1001" w:type="dxa"/>
            <w:tcBorders>
              <w:bottom w:val="single" w:sz="8" w:space="0" w:color="auto"/>
            </w:tcBorders>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27班</w:t>
            </w:r>
          </w:p>
        </w:tc>
        <w:tc>
          <w:tcPr>
            <w:tcW w:w="995" w:type="dxa"/>
            <w:tcBorders>
              <w:bottom w:val="single" w:sz="8" w:space="0" w:color="auto"/>
            </w:tcBorders>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9班</w:t>
            </w:r>
          </w:p>
        </w:tc>
        <w:tc>
          <w:tcPr>
            <w:tcW w:w="994" w:type="dxa"/>
            <w:tcBorders>
              <w:bottom w:val="single" w:sz="8" w:space="0" w:color="auto"/>
            </w:tcBorders>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18班</w:t>
            </w:r>
          </w:p>
        </w:tc>
        <w:tc>
          <w:tcPr>
            <w:tcW w:w="992" w:type="dxa"/>
            <w:tcBorders>
              <w:bottom w:val="single" w:sz="8" w:space="0" w:color="auto"/>
              <w:right w:val="single" w:sz="12" w:space="0" w:color="auto"/>
            </w:tcBorders>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27班</w:t>
            </w:r>
          </w:p>
        </w:tc>
      </w:tr>
      <w:tr w:rsidR="00DA44CC">
        <w:trPr>
          <w:trHeight w:val="520"/>
          <w:jc w:val="center"/>
        </w:trPr>
        <w:tc>
          <w:tcPr>
            <w:tcW w:w="1043" w:type="dxa"/>
            <w:vMerge/>
            <w:tcBorders>
              <w:left w:val="single" w:sz="12" w:space="0" w:color="auto"/>
            </w:tcBorders>
          </w:tcPr>
          <w:p w:rsidR="00DA44CC" w:rsidRDefault="00DA44CC">
            <w:pPr>
              <w:adjustRightInd w:val="0"/>
              <w:snapToGrid w:val="0"/>
              <w:spacing w:line="240" w:lineRule="atLeast"/>
              <w:rPr>
                <w:rFonts w:ascii="黑体" w:eastAsia="黑体" w:hAnsi="黑体"/>
                <w:sz w:val="18"/>
                <w:szCs w:val="18"/>
              </w:rPr>
            </w:pPr>
          </w:p>
        </w:tc>
        <w:tc>
          <w:tcPr>
            <w:tcW w:w="2265" w:type="dxa"/>
            <w:vMerge/>
          </w:tcPr>
          <w:p w:rsidR="00DA44CC" w:rsidRDefault="00DA44CC">
            <w:pPr>
              <w:adjustRightInd w:val="0"/>
              <w:snapToGrid w:val="0"/>
              <w:spacing w:line="240" w:lineRule="atLeast"/>
              <w:rPr>
                <w:rFonts w:ascii="黑体" w:eastAsia="黑体" w:hAnsi="黑体"/>
                <w:sz w:val="18"/>
                <w:szCs w:val="18"/>
              </w:rPr>
            </w:pPr>
          </w:p>
        </w:tc>
        <w:tc>
          <w:tcPr>
            <w:tcW w:w="995" w:type="dxa"/>
            <w:tcBorders>
              <w:top w:val="single" w:sz="8" w:space="0" w:color="auto"/>
            </w:tcBorders>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126人</w:t>
            </w:r>
          </w:p>
        </w:tc>
        <w:tc>
          <w:tcPr>
            <w:tcW w:w="995" w:type="dxa"/>
            <w:tcBorders>
              <w:top w:val="single" w:sz="8" w:space="0" w:color="auto"/>
            </w:tcBorders>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252人</w:t>
            </w:r>
          </w:p>
        </w:tc>
        <w:tc>
          <w:tcPr>
            <w:tcW w:w="1001" w:type="dxa"/>
            <w:tcBorders>
              <w:top w:val="single" w:sz="8" w:space="0" w:color="auto"/>
            </w:tcBorders>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378人</w:t>
            </w:r>
          </w:p>
        </w:tc>
        <w:tc>
          <w:tcPr>
            <w:tcW w:w="995" w:type="dxa"/>
            <w:tcBorders>
              <w:top w:val="single" w:sz="8" w:space="0" w:color="auto"/>
            </w:tcBorders>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126人</w:t>
            </w:r>
          </w:p>
        </w:tc>
        <w:tc>
          <w:tcPr>
            <w:tcW w:w="994" w:type="dxa"/>
            <w:tcBorders>
              <w:top w:val="single" w:sz="8" w:space="0" w:color="auto"/>
            </w:tcBorders>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252人</w:t>
            </w:r>
          </w:p>
        </w:tc>
        <w:tc>
          <w:tcPr>
            <w:tcW w:w="992" w:type="dxa"/>
            <w:tcBorders>
              <w:top w:val="single" w:sz="8" w:space="0" w:color="auto"/>
              <w:right w:val="single" w:sz="12" w:space="0" w:color="auto"/>
            </w:tcBorders>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378人</w:t>
            </w:r>
          </w:p>
        </w:tc>
      </w:tr>
      <w:tr w:rsidR="00DA44CC">
        <w:trPr>
          <w:trHeight w:val="520"/>
          <w:jc w:val="center"/>
        </w:trPr>
        <w:tc>
          <w:tcPr>
            <w:tcW w:w="1043" w:type="dxa"/>
            <w:vMerge w:val="restart"/>
            <w:tcBorders>
              <w:top w:val="single" w:sz="8" w:space="0" w:color="auto"/>
              <w:left w:val="single" w:sz="12" w:space="0" w:color="auto"/>
            </w:tcBorders>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盲校</w:t>
            </w:r>
          </w:p>
        </w:tc>
        <w:tc>
          <w:tcPr>
            <w:tcW w:w="2265" w:type="dxa"/>
            <w:tcBorders>
              <w:top w:val="single" w:sz="8" w:space="0" w:color="auto"/>
            </w:tcBorders>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建筑面积（㎡）</w:t>
            </w:r>
          </w:p>
        </w:tc>
        <w:tc>
          <w:tcPr>
            <w:tcW w:w="99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5904</w:t>
            </w:r>
          </w:p>
        </w:tc>
        <w:tc>
          <w:tcPr>
            <w:tcW w:w="99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10369</w:t>
            </w:r>
          </w:p>
        </w:tc>
        <w:tc>
          <w:tcPr>
            <w:tcW w:w="1001"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14477</w:t>
            </w:r>
          </w:p>
        </w:tc>
        <w:tc>
          <w:tcPr>
            <w:tcW w:w="99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7140</w:t>
            </w:r>
          </w:p>
        </w:tc>
        <w:tc>
          <w:tcPr>
            <w:tcW w:w="99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12515</w:t>
            </w:r>
          </w:p>
        </w:tc>
        <w:tc>
          <w:tcPr>
            <w:tcW w:w="992" w:type="dxa"/>
            <w:tcBorders>
              <w:right w:val="single" w:sz="12" w:space="0" w:color="auto"/>
            </w:tcBorders>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17482</w:t>
            </w:r>
          </w:p>
        </w:tc>
      </w:tr>
      <w:tr w:rsidR="00DA44CC">
        <w:trPr>
          <w:trHeight w:val="477"/>
          <w:jc w:val="center"/>
        </w:trPr>
        <w:tc>
          <w:tcPr>
            <w:tcW w:w="1043" w:type="dxa"/>
            <w:vMerge/>
            <w:tcBorders>
              <w:left w:val="single" w:sz="12" w:space="0" w:color="auto"/>
            </w:tcBorders>
            <w:vAlign w:val="center"/>
          </w:tcPr>
          <w:p w:rsidR="00DA44CC" w:rsidRDefault="00DA44CC">
            <w:pPr>
              <w:adjustRightInd w:val="0"/>
              <w:snapToGrid w:val="0"/>
              <w:spacing w:line="240" w:lineRule="atLeast"/>
              <w:rPr>
                <w:rFonts w:ascii="黑体" w:eastAsia="黑体" w:hAnsi="黑体"/>
                <w:sz w:val="18"/>
                <w:szCs w:val="18"/>
              </w:rPr>
            </w:pPr>
          </w:p>
        </w:tc>
        <w:tc>
          <w:tcPr>
            <w:tcW w:w="226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生均建筑面积（㎡/生）</w:t>
            </w:r>
          </w:p>
        </w:tc>
        <w:tc>
          <w:tcPr>
            <w:tcW w:w="99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46.86</w:t>
            </w:r>
          </w:p>
        </w:tc>
        <w:tc>
          <w:tcPr>
            <w:tcW w:w="99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41.15</w:t>
            </w:r>
          </w:p>
        </w:tc>
        <w:tc>
          <w:tcPr>
            <w:tcW w:w="1001"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38.30</w:t>
            </w:r>
          </w:p>
        </w:tc>
        <w:tc>
          <w:tcPr>
            <w:tcW w:w="99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56.66</w:t>
            </w:r>
          </w:p>
        </w:tc>
        <w:tc>
          <w:tcPr>
            <w:tcW w:w="99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49.66</w:t>
            </w:r>
          </w:p>
        </w:tc>
        <w:tc>
          <w:tcPr>
            <w:tcW w:w="992" w:type="dxa"/>
            <w:tcBorders>
              <w:right w:val="single" w:sz="12" w:space="0" w:color="auto"/>
            </w:tcBorders>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46.25</w:t>
            </w:r>
          </w:p>
        </w:tc>
      </w:tr>
      <w:tr w:rsidR="00DA44CC">
        <w:trPr>
          <w:trHeight w:val="520"/>
          <w:jc w:val="center"/>
        </w:trPr>
        <w:tc>
          <w:tcPr>
            <w:tcW w:w="1043" w:type="dxa"/>
            <w:vMerge w:val="restart"/>
            <w:tcBorders>
              <w:top w:val="single" w:sz="8" w:space="0" w:color="auto"/>
              <w:left w:val="single" w:sz="12" w:space="0" w:color="auto"/>
            </w:tcBorders>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聋校</w:t>
            </w:r>
          </w:p>
        </w:tc>
        <w:tc>
          <w:tcPr>
            <w:tcW w:w="226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建筑面积（㎡）</w:t>
            </w:r>
          </w:p>
        </w:tc>
        <w:tc>
          <w:tcPr>
            <w:tcW w:w="99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4839</w:t>
            </w:r>
          </w:p>
        </w:tc>
        <w:tc>
          <w:tcPr>
            <w:tcW w:w="99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8341</w:t>
            </w:r>
          </w:p>
        </w:tc>
        <w:tc>
          <w:tcPr>
            <w:tcW w:w="1001"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12110</w:t>
            </w:r>
          </w:p>
        </w:tc>
        <w:tc>
          <w:tcPr>
            <w:tcW w:w="99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6664</w:t>
            </w:r>
          </w:p>
        </w:tc>
        <w:tc>
          <w:tcPr>
            <w:tcW w:w="99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11442</w:t>
            </w:r>
          </w:p>
        </w:tc>
        <w:tc>
          <w:tcPr>
            <w:tcW w:w="992" w:type="dxa"/>
            <w:tcBorders>
              <w:right w:val="single" w:sz="12" w:space="0" w:color="auto"/>
            </w:tcBorders>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17214</w:t>
            </w:r>
          </w:p>
        </w:tc>
      </w:tr>
      <w:tr w:rsidR="00DA44CC">
        <w:trPr>
          <w:trHeight w:val="477"/>
          <w:jc w:val="center"/>
        </w:trPr>
        <w:tc>
          <w:tcPr>
            <w:tcW w:w="1043" w:type="dxa"/>
            <w:vMerge/>
            <w:tcBorders>
              <w:left w:val="single" w:sz="12" w:space="0" w:color="auto"/>
            </w:tcBorders>
            <w:vAlign w:val="center"/>
          </w:tcPr>
          <w:p w:rsidR="00DA44CC" w:rsidRDefault="00DA44CC">
            <w:pPr>
              <w:adjustRightInd w:val="0"/>
              <w:snapToGrid w:val="0"/>
              <w:spacing w:line="240" w:lineRule="atLeast"/>
              <w:rPr>
                <w:rFonts w:ascii="黑体" w:eastAsia="黑体" w:hAnsi="黑体"/>
                <w:sz w:val="18"/>
                <w:szCs w:val="18"/>
              </w:rPr>
            </w:pPr>
          </w:p>
        </w:tc>
        <w:tc>
          <w:tcPr>
            <w:tcW w:w="226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生均建筑面积（㎡/生）</w:t>
            </w:r>
          </w:p>
        </w:tc>
        <w:tc>
          <w:tcPr>
            <w:tcW w:w="99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38.40</w:t>
            </w:r>
          </w:p>
        </w:tc>
        <w:tc>
          <w:tcPr>
            <w:tcW w:w="99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33.10</w:t>
            </w:r>
          </w:p>
        </w:tc>
        <w:tc>
          <w:tcPr>
            <w:tcW w:w="1001"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32.04</w:t>
            </w:r>
          </w:p>
        </w:tc>
        <w:tc>
          <w:tcPr>
            <w:tcW w:w="99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52.89</w:t>
            </w:r>
          </w:p>
        </w:tc>
        <w:tc>
          <w:tcPr>
            <w:tcW w:w="99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45.40</w:t>
            </w:r>
          </w:p>
        </w:tc>
        <w:tc>
          <w:tcPr>
            <w:tcW w:w="992" w:type="dxa"/>
            <w:tcBorders>
              <w:right w:val="single" w:sz="12" w:space="0" w:color="auto"/>
            </w:tcBorders>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45.54</w:t>
            </w:r>
          </w:p>
        </w:tc>
      </w:tr>
      <w:tr w:rsidR="00DA44CC">
        <w:trPr>
          <w:trHeight w:val="520"/>
          <w:jc w:val="center"/>
        </w:trPr>
        <w:tc>
          <w:tcPr>
            <w:tcW w:w="1043" w:type="dxa"/>
            <w:vMerge w:val="restart"/>
            <w:tcBorders>
              <w:top w:val="single" w:sz="8" w:space="0" w:color="auto"/>
              <w:left w:val="single" w:sz="12" w:space="0" w:color="auto"/>
            </w:tcBorders>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培智学校</w:t>
            </w:r>
          </w:p>
        </w:tc>
        <w:tc>
          <w:tcPr>
            <w:tcW w:w="2265" w:type="dxa"/>
            <w:tcBorders>
              <w:top w:val="single" w:sz="8" w:space="0" w:color="auto"/>
            </w:tcBorders>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建筑面积（㎡）</w:t>
            </w:r>
          </w:p>
        </w:tc>
        <w:tc>
          <w:tcPr>
            <w:tcW w:w="99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3528</w:t>
            </w:r>
          </w:p>
        </w:tc>
        <w:tc>
          <w:tcPr>
            <w:tcW w:w="99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5973</w:t>
            </w:r>
          </w:p>
        </w:tc>
        <w:tc>
          <w:tcPr>
            <w:tcW w:w="1001"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8395</w:t>
            </w:r>
          </w:p>
        </w:tc>
        <w:tc>
          <w:tcPr>
            <w:tcW w:w="99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5071</w:t>
            </w:r>
          </w:p>
        </w:tc>
        <w:tc>
          <w:tcPr>
            <w:tcW w:w="99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8610</w:t>
            </w:r>
          </w:p>
        </w:tc>
        <w:tc>
          <w:tcPr>
            <w:tcW w:w="992" w:type="dxa"/>
            <w:tcBorders>
              <w:right w:val="single" w:sz="12" w:space="0" w:color="auto"/>
            </w:tcBorders>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11721</w:t>
            </w:r>
          </w:p>
        </w:tc>
      </w:tr>
      <w:tr w:rsidR="00DA44CC">
        <w:trPr>
          <w:trHeight w:val="477"/>
          <w:jc w:val="center"/>
        </w:trPr>
        <w:tc>
          <w:tcPr>
            <w:tcW w:w="1043" w:type="dxa"/>
            <w:vMerge/>
            <w:tcBorders>
              <w:left w:val="single" w:sz="12" w:space="0" w:color="auto"/>
            </w:tcBorders>
            <w:vAlign w:val="center"/>
          </w:tcPr>
          <w:p w:rsidR="00DA44CC" w:rsidRDefault="00DA44CC">
            <w:pPr>
              <w:adjustRightInd w:val="0"/>
              <w:snapToGrid w:val="0"/>
              <w:spacing w:line="240" w:lineRule="atLeast"/>
              <w:rPr>
                <w:rFonts w:ascii="黑体" w:eastAsia="黑体" w:hAnsi="黑体"/>
                <w:sz w:val="18"/>
                <w:szCs w:val="18"/>
              </w:rPr>
            </w:pPr>
          </w:p>
        </w:tc>
        <w:tc>
          <w:tcPr>
            <w:tcW w:w="226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生均建筑面积（㎡/生）</w:t>
            </w:r>
          </w:p>
        </w:tc>
        <w:tc>
          <w:tcPr>
            <w:tcW w:w="99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49.00</w:t>
            </w:r>
          </w:p>
        </w:tc>
        <w:tc>
          <w:tcPr>
            <w:tcW w:w="99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41.48</w:t>
            </w:r>
          </w:p>
        </w:tc>
        <w:tc>
          <w:tcPr>
            <w:tcW w:w="1001"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38.87</w:t>
            </w:r>
          </w:p>
        </w:tc>
        <w:tc>
          <w:tcPr>
            <w:tcW w:w="99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70.43</w:t>
            </w:r>
          </w:p>
        </w:tc>
        <w:tc>
          <w:tcPr>
            <w:tcW w:w="99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59.79</w:t>
            </w:r>
          </w:p>
        </w:tc>
        <w:tc>
          <w:tcPr>
            <w:tcW w:w="992" w:type="dxa"/>
            <w:tcBorders>
              <w:right w:val="single" w:sz="12" w:space="0" w:color="auto"/>
            </w:tcBorders>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54.27</w:t>
            </w:r>
          </w:p>
        </w:tc>
      </w:tr>
      <w:tr w:rsidR="00DA44CC">
        <w:trPr>
          <w:trHeight w:val="604"/>
          <w:jc w:val="center"/>
        </w:trPr>
        <w:tc>
          <w:tcPr>
            <w:tcW w:w="3308" w:type="dxa"/>
            <w:gridSpan w:val="2"/>
            <w:tcBorders>
              <w:left w:val="single" w:sz="12" w:space="0" w:color="auto"/>
              <w:bottom w:val="single" w:sz="12" w:space="0" w:color="auto"/>
            </w:tcBorders>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素质教育拓展基地</w:t>
            </w:r>
          </w:p>
        </w:tc>
        <w:tc>
          <w:tcPr>
            <w:tcW w:w="5972" w:type="dxa"/>
            <w:gridSpan w:val="6"/>
            <w:tcBorders>
              <w:bottom w:val="single" w:sz="12" w:space="0" w:color="auto"/>
              <w:right w:val="single" w:sz="12" w:space="0" w:color="auto"/>
            </w:tcBorders>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原则上各区至少设置一处，每处规模不宜小于2公顷。</w:t>
            </w:r>
          </w:p>
        </w:tc>
      </w:tr>
    </w:tbl>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第二十五条  体育设施</w:t>
      </w:r>
    </w:p>
    <w:p w:rsidR="00DA44CC" w:rsidRDefault="00C53A1B" w:rsidP="00B63AD6">
      <w:pPr>
        <w:adjustRightInd w:val="0"/>
        <w:snapToGrid w:val="0"/>
        <w:spacing w:line="52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lastRenderedPageBreak/>
        <w:t>为市民提供运动健身的体育场馆、游泳场馆、各类球场等内容。具体配置要求如表4-3所示。</w:t>
      </w:r>
    </w:p>
    <w:p w:rsidR="00DA44CC" w:rsidRDefault="00C53A1B">
      <w:pPr>
        <w:spacing w:line="360" w:lineRule="auto"/>
        <w:jc w:val="center"/>
        <w:rPr>
          <w:rFonts w:ascii="黑体" w:eastAsia="黑体" w:hAnsi="黑体"/>
        </w:rPr>
      </w:pPr>
      <w:r>
        <w:rPr>
          <w:rFonts w:ascii="黑体" w:eastAsia="黑体" w:hAnsi="黑体" w:hint="eastAsia"/>
        </w:rPr>
        <w:t>表4-3市区级体育设施配建标准</w:t>
      </w:r>
    </w:p>
    <w:tbl>
      <w:tblPr>
        <w:tblW w:w="9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6"/>
        <w:gridCol w:w="1058"/>
        <w:gridCol w:w="1213"/>
        <w:gridCol w:w="907"/>
        <w:gridCol w:w="909"/>
        <w:gridCol w:w="1215"/>
        <w:gridCol w:w="798"/>
        <w:gridCol w:w="2769"/>
      </w:tblGrid>
      <w:tr w:rsidR="00DA44CC" w:rsidTr="00D43F73">
        <w:trPr>
          <w:trHeight w:val="380"/>
        </w:trPr>
        <w:tc>
          <w:tcPr>
            <w:tcW w:w="506" w:type="dxa"/>
            <w:vMerge w:val="restart"/>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级别</w:t>
            </w:r>
          </w:p>
        </w:tc>
        <w:tc>
          <w:tcPr>
            <w:tcW w:w="1058" w:type="dxa"/>
            <w:vMerge w:val="restart"/>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设施名称</w:t>
            </w:r>
          </w:p>
        </w:tc>
        <w:tc>
          <w:tcPr>
            <w:tcW w:w="1213" w:type="dxa"/>
            <w:vMerge w:val="restart"/>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规划服务人口（万人）</w:t>
            </w:r>
          </w:p>
        </w:tc>
        <w:tc>
          <w:tcPr>
            <w:tcW w:w="1816" w:type="dxa"/>
            <w:gridSpan w:val="2"/>
            <w:tcMar>
              <w:top w:w="72" w:type="dxa"/>
              <w:left w:w="144" w:type="dxa"/>
              <w:bottom w:w="72" w:type="dxa"/>
              <w:right w:w="144"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一般规模（㎡/处）</w:t>
            </w:r>
          </w:p>
        </w:tc>
        <w:tc>
          <w:tcPr>
            <w:tcW w:w="1215"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千人标准（㎡/千人）</w:t>
            </w:r>
          </w:p>
        </w:tc>
        <w:tc>
          <w:tcPr>
            <w:tcW w:w="798" w:type="dxa"/>
            <w:vMerge w:val="restart"/>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观众规模（千座）</w:t>
            </w:r>
          </w:p>
        </w:tc>
        <w:tc>
          <w:tcPr>
            <w:tcW w:w="2769" w:type="dxa"/>
            <w:vMerge w:val="restart"/>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配置内容</w:t>
            </w:r>
          </w:p>
        </w:tc>
      </w:tr>
      <w:tr w:rsidR="00DA44CC" w:rsidTr="00D43F73">
        <w:trPr>
          <w:trHeight w:val="367"/>
        </w:trPr>
        <w:tc>
          <w:tcPr>
            <w:tcW w:w="506" w:type="dxa"/>
            <w:vMerge/>
            <w:vAlign w:val="center"/>
          </w:tcPr>
          <w:p w:rsidR="00DA44CC" w:rsidRDefault="00DA44CC">
            <w:pPr>
              <w:adjustRightInd w:val="0"/>
              <w:snapToGrid w:val="0"/>
              <w:spacing w:line="240" w:lineRule="atLeast"/>
              <w:rPr>
                <w:rFonts w:ascii="黑体" w:eastAsia="黑体" w:hAnsi="黑体"/>
                <w:sz w:val="18"/>
                <w:szCs w:val="18"/>
              </w:rPr>
            </w:pPr>
          </w:p>
        </w:tc>
        <w:tc>
          <w:tcPr>
            <w:tcW w:w="1058" w:type="dxa"/>
            <w:vMerge/>
            <w:vAlign w:val="center"/>
          </w:tcPr>
          <w:p w:rsidR="00DA44CC" w:rsidRDefault="00DA44CC">
            <w:pPr>
              <w:adjustRightInd w:val="0"/>
              <w:snapToGrid w:val="0"/>
              <w:spacing w:line="240" w:lineRule="atLeast"/>
              <w:rPr>
                <w:rFonts w:ascii="黑体" w:eastAsia="黑体" w:hAnsi="黑体"/>
                <w:sz w:val="18"/>
                <w:szCs w:val="18"/>
              </w:rPr>
            </w:pPr>
          </w:p>
        </w:tc>
        <w:tc>
          <w:tcPr>
            <w:tcW w:w="1213" w:type="dxa"/>
            <w:vMerge/>
            <w:vAlign w:val="center"/>
          </w:tcPr>
          <w:p w:rsidR="00DA44CC" w:rsidRDefault="00DA44CC">
            <w:pPr>
              <w:adjustRightInd w:val="0"/>
              <w:snapToGrid w:val="0"/>
              <w:spacing w:line="240" w:lineRule="atLeast"/>
              <w:rPr>
                <w:rFonts w:ascii="黑体" w:eastAsia="黑体" w:hAnsi="黑体"/>
                <w:sz w:val="18"/>
                <w:szCs w:val="18"/>
              </w:rPr>
            </w:pPr>
          </w:p>
        </w:tc>
        <w:tc>
          <w:tcPr>
            <w:tcW w:w="907"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用地</w:t>
            </w:r>
          </w:p>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面积</w:t>
            </w:r>
          </w:p>
        </w:tc>
        <w:tc>
          <w:tcPr>
            <w:tcW w:w="909"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建筑</w:t>
            </w:r>
          </w:p>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面积</w:t>
            </w:r>
          </w:p>
        </w:tc>
        <w:tc>
          <w:tcPr>
            <w:tcW w:w="1215"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用地面积</w:t>
            </w:r>
          </w:p>
        </w:tc>
        <w:tc>
          <w:tcPr>
            <w:tcW w:w="798" w:type="dxa"/>
            <w:vMerge/>
            <w:vAlign w:val="center"/>
          </w:tcPr>
          <w:p w:rsidR="00DA44CC" w:rsidRDefault="00DA44CC">
            <w:pPr>
              <w:adjustRightInd w:val="0"/>
              <w:snapToGrid w:val="0"/>
              <w:spacing w:line="240" w:lineRule="atLeast"/>
              <w:rPr>
                <w:rFonts w:ascii="黑体" w:eastAsia="黑体" w:hAnsi="黑体"/>
                <w:sz w:val="18"/>
                <w:szCs w:val="18"/>
              </w:rPr>
            </w:pPr>
          </w:p>
        </w:tc>
        <w:tc>
          <w:tcPr>
            <w:tcW w:w="2769" w:type="dxa"/>
            <w:vMerge/>
            <w:vAlign w:val="center"/>
          </w:tcPr>
          <w:p w:rsidR="00DA44CC" w:rsidRDefault="00DA44CC">
            <w:pPr>
              <w:adjustRightInd w:val="0"/>
              <w:snapToGrid w:val="0"/>
              <w:spacing w:line="240" w:lineRule="atLeast"/>
              <w:rPr>
                <w:rFonts w:ascii="黑体" w:eastAsia="黑体" w:hAnsi="黑体"/>
                <w:sz w:val="18"/>
                <w:szCs w:val="18"/>
              </w:rPr>
            </w:pPr>
          </w:p>
        </w:tc>
      </w:tr>
      <w:tr w:rsidR="00DA44CC" w:rsidTr="00D43F73">
        <w:trPr>
          <w:trHeight w:val="940"/>
        </w:trPr>
        <w:tc>
          <w:tcPr>
            <w:tcW w:w="506" w:type="dxa"/>
            <w:vMerge w:val="restart"/>
            <w:tcMar>
              <w:top w:w="72" w:type="dxa"/>
              <w:left w:w="144" w:type="dxa"/>
              <w:bottom w:w="72" w:type="dxa"/>
              <w:right w:w="144"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市级</w:t>
            </w:r>
          </w:p>
        </w:tc>
        <w:tc>
          <w:tcPr>
            <w:tcW w:w="1058"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体育场</w:t>
            </w:r>
          </w:p>
        </w:tc>
        <w:tc>
          <w:tcPr>
            <w:tcW w:w="1213" w:type="dxa"/>
            <w:tcMar>
              <w:top w:w="15" w:type="dxa"/>
              <w:left w:w="144" w:type="dxa"/>
              <w:bottom w:w="72" w:type="dxa"/>
              <w:right w:w="144"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100-200</w:t>
            </w:r>
          </w:p>
        </w:tc>
        <w:tc>
          <w:tcPr>
            <w:tcW w:w="907" w:type="dxa"/>
            <w:tcMar>
              <w:top w:w="15" w:type="dxa"/>
              <w:left w:w="144" w:type="dxa"/>
              <w:bottom w:w="72" w:type="dxa"/>
              <w:right w:w="144"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100000</w:t>
            </w:r>
          </w:p>
        </w:tc>
        <w:tc>
          <w:tcPr>
            <w:tcW w:w="909" w:type="dxa"/>
            <w:tcMar>
              <w:top w:w="15" w:type="dxa"/>
              <w:left w:w="144" w:type="dxa"/>
              <w:bottom w:w="72" w:type="dxa"/>
              <w:right w:w="144"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40000</w:t>
            </w:r>
          </w:p>
        </w:tc>
        <w:tc>
          <w:tcPr>
            <w:tcW w:w="1215" w:type="dxa"/>
            <w:tcMar>
              <w:top w:w="15" w:type="dxa"/>
              <w:left w:w="144" w:type="dxa"/>
              <w:bottom w:w="72" w:type="dxa"/>
              <w:right w:w="144"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w:t>
            </w:r>
          </w:p>
        </w:tc>
        <w:tc>
          <w:tcPr>
            <w:tcW w:w="798" w:type="dxa"/>
            <w:tcMar>
              <w:top w:w="15" w:type="dxa"/>
              <w:left w:w="144" w:type="dxa"/>
              <w:bottom w:w="72" w:type="dxa"/>
              <w:right w:w="144"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30-50</w:t>
            </w:r>
          </w:p>
        </w:tc>
        <w:tc>
          <w:tcPr>
            <w:tcW w:w="2769" w:type="dxa"/>
            <w:tcMar>
              <w:top w:w="15" w:type="dxa"/>
              <w:left w:w="144" w:type="dxa"/>
              <w:bottom w:w="72" w:type="dxa"/>
              <w:right w:w="144" w:type="dxa"/>
            </w:tcMar>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室外应配置田径场、篮球场、羽毛球场、排球场、足球场，室内应配置篮球、羽毛球、排球、乒乓球、网球等</w:t>
            </w:r>
          </w:p>
        </w:tc>
      </w:tr>
      <w:tr w:rsidR="00DA44CC" w:rsidTr="00D43F73">
        <w:trPr>
          <w:trHeight w:val="203"/>
        </w:trPr>
        <w:tc>
          <w:tcPr>
            <w:tcW w:w="506" w:type="dxa"/>
            <w:vMerge/>
            <w:vAlign w:val="center"/>
          </w:tcPr>
          <w:p w:rsidR="00DA44CC" w:rsidRDefault="00DA44CC">
            <w:pPr>
              <w:adjustRightInd w:val="0"/>
              <w:snapToGrid w:val="0"/>
              <w:spacing w:line="240" w:lineRule="atLeast"/>
              <w:rPr>
                <w:rFonts w:ascii="黑体" w:eastAsia="黑体" w:hAnsi="黑体"/>
                <w:sz w:val="18"/>
                <w:szCs w:val="18"/>
              </w:rPr>
            </w:pPr>
          </w:p>
        </w:tc>
        <w:tc>
          <w:tcPr>
            <w:tcW w:w="1058"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体育馆</w:t>
            </w:r>
          </w:p>
        </w:tc>
        <w:tc>
          <w:tcPr>
            <w:tcW w:w="1213"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100-200</w:t>
            </w:r>
          </w:p>
        </w:tc>
        <w:tc>
          <w:tcPr>
            <w:tcW w:w="907"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20000</w:t>
            </w:r>
          </w:p>
        </w:tc>
        <w:tc>
          <w:tcPr>
            <w:tcW w:w="909"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14000</w:t>
            </w:r>
          </w:p>
        </w:tc>
        <w:tc>
          <w:tcPr>
            <w:tcW w:w="1215"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≥25</w:t>
            </w:r>
          </w:p>
        </w:tc>
        <w:tc>
          <w:tcPr>
            <w:tcW w:w="798"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4-10</w:t>
            </w:r>
          </w:p>
        </w:tc>
        <w:tc>
          <w:tcPr>
            <w:tcW w:w="2769" w:type="dxa"/>
            <w:tcMar>
              <w:top w:w="15" w:type="dxa"/>
              <w:left w:w="108" w:type="dxa"/>
              <w:bottom w:w="0" w:type="dxa"/>
              <w:right w:w="108" w:type="dxa"/>
            </w:tcMar>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篮球、羽毛球、排球、乒乓球、网球等</w:t>
            </w:r>
          </w:p>
        </w:tc>
      </w:tr>
      <w:tr w:rsidR="00DA44CC" w:rsidTr="00D43F73">
        <w:trPr>
          <w:trHeight w:val="20"/>
        </w:trPr>
        <w:tc>
          <w:tcPr>
            <w:tcW w:w="506" w:type="dxa"/>
            <w:vMerge/>
            <w:vAlign w:val="center"/>
          </w:tcPr>
          <w:p w:rsidR="00DA44CC" w:rsidRDefault="00DA44CC">
            <w:pPr>
              <w:adjustRightInd w:val="0"/>
              <w:snapToGrid w:val="0"/>
              <w:spacing w:line="240" w:lineRule="atLeast"/>
              <w:rPr>
                <w:rFonts w:ascii="黑体" w:eastAsia="黑体" w:hAnsi="黑体"/>
                <w:sz w:val="18"/>
                <w:szCs w:val="18"/>
              </w:rPr>
            </w:pPr>
          </w:p>
        </w:tc>
        <w:tc>
          <w:tcPr>
            <w:tcW w:w="1058"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游泳馆</w:t>
            </w:r>
          </w:p>
        </w:tc>
        <w:tc>
          <w:tcPr>
            <w:tcW w:w="1213"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100-200</w:t>
            </w:r>
          </w:p>
        </w:tc>
        <w:tc>
          <w:tcPr>
            <w:tcW w:w="907"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17000</w:t>
            </w:r>
          </w:p>
        </w:tc>
        <w:tc>
          <w:tcPr>
            <w:tcW w:w="909"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12000</w:t>
            </w:r>
          </w:p>
        </w:tc>
        <w:tc>
          <w:tcPr>
            <w:tcW w:w="1215"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≥25</w:t>
            </w:r>
          </w:p>
        </w:tc>
        <w:tc>
          <w:tcPr>
            <w:tcW w:w="798"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2-4</w:t>
            </w:r>
          </w:p>
        </w:tc>
        <w:tc>
          <w:tcPr>
            <w:tcW w:w="2769" w:type="dxa"/>
            <w:tcMar>
              <w:top w:w="15" w:type="dxa"/>
              <w:left w:w="108" w:type="dxa"/>
              <w:bottom w:w="0" w:type="dxa"/>
              <w:right w:w="108" w:type="dxa"/>
            </w:tcMar>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游泳馆</w:t>
            </w:r>
          </w:p>
        </w:tc>
      </w:tr>
      <w:tr w:rsidR="00DA44CC" w:rsidTr="00D43F73">
        <w:trPr>
          <w:trHeight w:val="20"/>
        </w:trPr>
        <w:tc>
          <w:tcPr>
            <w:tcW w:w="506" w:type="dxa"/>
            <w:vMerge/>
            <w:vAlign w:val="center"/>
          </w:tcPr>
          <w:p w:rsidR="00DA44CC" w:rsidRDefault="00DA44CC">
            <w:pPr>
              <w:adjustRightInd w:val="0"/>
              <w:snapToGrid w:val="0"/>
              <w:spacing w:line="240" w:lineRule="atLeast"/>
              <w:rPr>
                <w:rFonts w:ascii="黑体" w:eastAsia="黑体" w:hAnsi="黑体"/>
                <w:sz w:val="18"/>
                <w:szCs w:val="18"/>
              </w:rPr>
            </w:pPr>
          </w:p>
        </w:tc>
        <w:tc>
          <w:tcPr>
            <w:tcW w:w="1058"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射击场</w:t>
            </w:r>
          </w:p>
        </w:tc>
        <w:tc>
          <w:tcPr>
            <w:tcW w:w="1213"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100-200</w:t>
            </w:r>
          </w:p>
        </w:tc>
        <w:tc>
          <w:tcPr>
            <w:tcW w:w="907"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10000</w:t>
            </w:r>
          </w:p>
        </w:tc>
        <w:tc>
          <w:tcPr>
            <w:tcW w:w="909"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215"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w:t>
            </w:r>
          </w:p>
        </w:tc>
        <w:tc>
          <w:tcPr>
            <w:tcW w:w="798"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2769" w:type="dxa"/>
            <w:tcMar>
              <w:top w:w="15" w:type="dxa"/>
              <w:left w:w="108" w:type="dxa"/>
              <w:bottom w:w="0" w:type="dxa"/>
              <w:right w:w="108" w:type="dxa"/>
            </w:tcMar>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射击场</w:t>
            </w:r>
          </w:p>
        </w:tc>
      </w:tr>
      <w:tr w:rsidR="00DA44CC" w:rsidTr="00D43F73">
        <w:trPr>
          <w:trHeight w:val="20"/>
        </w:trPr>
        <w:tc>
          <w:tcPr>
            <w:tcW w:w="506" w:type="dxa"/>
            <w:vMerge/>
            <w:vAlign w:val="center"/>
          </w:tcPr>
          <w:p w:rsidR="00DA44CC" w:rsidRDefault="00DA44CC">
            <w:pPr>
              <w:adjustRightInd w:val="0"/>
              <w:snapToGrid w:val="0"/>
              <w:spacing w:line="240" w:lineRule="atLeast"/>
              <w:rPr>
                <w:rFonts w:ascii="黑体" w:eastAsia="黑体" w:hAnsi="黑体"/>
                <w:sz w:val="18"/>
                <w:szCs w:val="18"/>
              </w:rPr>
            </w:pPr>
          </w:p>
        </w:tc>
        <w:tc>
          <w:tcPr>
            <w:tcW w:w="1058"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全民健身中心(大型)</w:t>
            </w:r>
          </w:p>
        </w:tc>
        <w:tc>
          <w:tcPr>
            <w:tcW w:w="1213"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100-200</w:t>
            </w:r>
          </w:p>
        </w:tc>
        <w:tc>
          <w:tcPr>
            <w:tcW w:w="907"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40000</w:t>
            </w:r>
          </w:p>
        </w:tc>
        <w:tc>
          <w:tcPr>
            <w:tcW w:w="909"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12000</w:t>
            </w:r>
          </w:p>
        </w:tc>
        <w:tc>
          <w:tcPr>
            <w:tcW w:w="1215"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≥20</w:t>
            </w:r>
          </w:p>
        </w:tc>
        <w:tc>
          <w:tcPr>
            <w:tcW w:w="798"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2769" w:type="dxa"/>
            <w:tcMar>
              <w:top w:w="15" w:type="dxa"/>
              <w:left w:w="108" w:type="dxa"/>
              <w:bottom w:w="0" w:type="dxa"/>
              <w:right w:w="108" w:type="dxa"/>
            </w:tcMar>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篮球馆、网羽馆、篮球场、足球场、乒乓球场、羽毛球场、网球场、门球场、健身广场</w:t>
            </w:r>
          </w:p>
        </w:tc>
      </w:tr>
      <w:tr w:rsidR="00DA44CC" w:rsidTr="00D43F73">
        <w:trPr>
          <w:trHeight w:val="20"/>
        </w:trPr>
        <w:tc>
          <w:tcPr>
            <w:tcW w:w="506"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区</w:t>
            </w:r>
          </w:p>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级</w:t>
            </w:r>
          </w:p>
        </w:tc>
        <w:tc>
          <w:tcPr>
            <w:tcW w:w="1058"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体育场</w:t>
            </w:r>
          </w:p>
        </w:tc>
        <w:tc>
          <w:tcPr>
            <w:tcW w:w="1213"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50-80</w:t>
            </w:r>
          </w:p>
        </w:tc>
        <w:tc>
          <w:tcPr>
            <w:tcW w:w="907"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50000</w:t>
            </w:r>
          </w:p>
        </w:tc>
        <w:tc>
          <w:tcPr>
            <w:tcW w:w="909"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12000</w:t>
            </w:r>
          </w:p>
        </w:tc>
        <w:tc>
          <w:tcPr>
            <w:tcW w:w="1215"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≥120</w:t>
            </w:r>
          </w:p>
        </w:tc>
        <w:tc>
          <w:tcPr>
            <w:tcW w:w="798"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10-15</w:t>
            </w:r>
          </w:p>
        </w:tc>
        <w:tc>
          <w:tcPr>
            <w:tcW w:w="2769" w:type="dxa"/>
            <w:tcMar>
              <w:top w:w="15" w:type="dxa"/>
              <w:left w:w="108" w:type="dxa"/>
              <w:bottom w:w="0" w:type="dxa"/>
              <w:right w:w="108" w:type="dxa"/>
            </w:tcMar>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室外应配置田径场、篮球场、羽毛球场、排球场、足球场，室内应配置篮球、羽毛球、排球、乒乓球、网球等。</w:t>
            </w:r>
          </w:p>
        </w:tc>
      </w:tr>
      <w:tr w:rsidR="00DA44CC" w:rsidTr="00D43F73">
        <w:trPr>
          <w:trHeight w:val="20"/>
        </w:trPr>
        <w:tc>
          <w:tcPr>
            <w:tcW w:w="506" w:type="dxa"/>
            <w:vMerge/>
            <w:vAlign w:val="center"/>
          </w:tcPr>
          <w:p w:rsidR="00DA44CC" w:rsidRDefault="00DA44CC">
            <w:pPr>
              <w:adjustRightInd w:val="0"/>
              <w:snapToGrid w:val="0"/>
              <w:spacing w:line="240" w:lineRule="atLeast"/>
              <w:rPr>
                <w:rFonts w:ascii="黑体" w:eastAsia="黑体" w:hAnsi="黑体"/>
                <w:sz w:val="18"/>
                <w:szCs w:val="18"/>
              </w:rPr>
            </w:pPr>
          </w:p>
        </w:tc>
        <w:tc>
          <w:tcPr>
            <w:tcW w:w="1058"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体育馆</w:t>
            </w:r>
          </w:p>
        </w:tc>
        <w:tc>
          <w:tcPr>
            <w:tcW w:w="1213"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50-80</w:t>
            </w:r>
          </w:p>
        </w:tc>
        <w:tc>
          <w:tcPr>
            <w:tcW w:w="907"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13000</w:t>
            </w:r>
          </w:p>
        </w:tc>
        <w:tc>
          <w:tcPr>
            <w:tcW w:w="909"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8000</w:t>
            </w:r>
          </w:p>
        </w:tc>
        <w:tc>
          <w:tcPr>
            <w:tcW w:w="1215"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≥35</w:t>
            </w:r>
          </w:p>
        </w:tc>
        <w:tc>
          <w:tcPr>
            <w:tcW w:w="798"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2-4</w:t>
            </w:r>
          </w:p>
        </w:tc>
        <w:tc>
          <w:tcPr>
            <w:tcW w:w="2769" w:type="dxa"/>
            <w:tcMar>
              <w:top w:w="15" w:type="dxa"/>
              <w:left w:w="108" w:type="dxa"/>
              <w:bottom w:w="0" w:type="dxa"/>
              <w:right w:w="108" w:type="dxa"/>
            </w:tcMar>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篮球、羽毛球、排球、乒乓球、网球等</w:t>
            </w:r>
          </w:p>
        </w:tc>
      </w:tr>
      <w:tr w:rsidR="00DA44CC" w:rsidTr="00D43F73">
        <w:trPr>
          <w:trHeight w:val="20"/>
        </w:trPr>
        <w:tc>
          <w:tcPr>
            <w:tcW w:w="506" w:type="dxa"/>
            <w:vMerge/>
            <w:vAlign w:val="center"/>
          </w:tcPr>
          <w:p w:rsidR="00DA44CC" w:rsidRDefault="00DA44CC">
            <w:pPr>
              <w:adjustRightInd w:val="0"/>
              <w:snapToGrid w:val="0"/>
              <w:spacing w:line="240" w:lineRule="atLeast"/>
              <w:rPr>
                <w:rFonts w:ascii="黑体" w:eastAsia="黑体" w:hAnsi="黑体"/>
                <w:sz w:val="18"/>
                <w:szCs w:val="18"/>
              </w:rPr>
            </w:pPr>
          </w:p>
        </w:tc>
        <w:tc>
          <w:tcPr>
            <w:tcW w:w="1058"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游泳馆</w:t>
            </w:r>
          </w:p>
        </w:tc>
        <w:tc>
          <w:tcPr>
            <w:tcW w:w="1213"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50-80</w:t>
            </w:r>
          </w:p>
        </w:tc>
        <w:tc>
          <w:tcPr>
            <w:tcW w:w="907"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12500</w:t>
            </w:r>
          </w:p>
        </w:tc>
        <w:tc>
          <w:tcPr>
            <w:tcW w:w="909"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8000</w:t>
            </w:r>
          </w:p>
        </w:tc>
        <w:tc>
          <w:tcPr>
            <w:tcW w:w="1215"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≥35</w:t>
            </w:r>
          </w:p>
        </w:tc>
        <w:tc>
          <w:tcPr>
            <w:tcW w:w="798"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2769" w:type="dxa"/>
            <w:tcMar>
              <w:top w:w="15" w:type="dxa"/>
              <w:left w:w="108" w:type="dxa"/>
              <w:bottom w:w="0" w:type="dxa"/>
              <w:right w:w="108" w:type="dxa"/>
            </w:tcMar>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游泳馆</w:t>
            </w:r>
          </w:p>
        </w:tc>
      </w:tr>
      <w:tr w:rsidR="00DA44CC" w:rsidTr="00D43F73">
        <w:trPr>
          <w:trHeight w:val="20"/>
        </w:trPr>
        <w:tc>
          <w:tcPr>
            <w:tcW w:w="506" w:type="dxa"/>
            <w:vMerge/>
            <w:vAlign w:val="center"/>
          </w:tcPr>
          <w:p w:rsidR="00DA44CC" w:rsidRDefault="00DA44CC">
            <w:pPr>
              <w:adjustRightInd w:val="0"/>
              <w:snapToGrid w:val="0"/>
              <w:spacing w:line="240" w:lineRule="atLeast"/>
              <w:rPr>
                <w:rFonts w:ascii="黑体" w:eastAsia="黑体" w:hAnsi="黑体"/>
                <w:sz w:val="18"/>
                <w:szCs w:val="18"/>
              </w:rPr>
            </w:pPr>
          </w:p>
        </w:tc>
        <w:tc>
          <w:tcPr>
            <w:tcW w:w="1058"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全民健身活动中心（中型）</w:t>
            </w:r>
          </w:p>
        </w:tc>
        <w:tc>
          <w:tcPr>
            <w:tcW w:w="1213"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30-50</w:t>
            </w:r>
          </w:p>
        </w:tc>
        <w:tc>
          <w:tcPr>
            <w:tcW w:w="907"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15000</w:t>
            </w:r>
          </w:p>
        </w:tc>
        <w:tc>
          <w:tcPr>
            <w:tcW w:w="909"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6000</w:t>
            </w:r>
          </w:p>
        </w:tc>
        <w:tc>
          <w:tcPr>
            <w:tcW w:w="1215"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≥30</w:t>
            </w:r>
          </w:p>
        </w:tc>
        <w:tc>
          <w:tcPr>
            <w:tcW w:w="798" w:type="dxa"/>
            <w:tcMar>
              <w:top w:w="15" w:type="dxa"/>
              <w:left w:w="108" w:type="dxa"/>
              <w:bottom w:w="0" w:type="dxa"/>
              <w:right w:w="108" w:type="dxa"/>
            </w:tcMar>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2769" w:type="dxa"/>
            <w:tcMar>
              <w:top w:w="15" w:type="dxa"/>
              <w:left w:w="108" w:type="dxa"/>
              <w:bottom w:w="0" w:type="dxa"/>
              <w:right w:w="108" w:type="dxa"/>
            </w:tcMar>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体育场地设施不少于8个项目</w:t>
            </w:r>
          </w:p>
        </w:tc>
      </w:tr>
    </w:tbl>
    <w:p w:rsidR="00DA44CC" w:rsidRDefault="00C53A1B" w:rsidP="00B63AD6">
      <w:pPr>
        <w:adjustRightInd w:val="0"/>
        <w:snapToGrid w:val="0"/>
        <w:spacing w:line="5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第二十六条  医疗卫生设施</w:t>
      </w:r>
    </w:p>
    <w:p w:rsidR="00DA44CC" w:rsidRDefault="00C53A1B" w:rsidP="00B63AD6">
      <w:pPr>
        <w:adjustRightInd w:val="0"/>
        <w:snapToGrid w:val="0"/>
        <w:spacing w:line="5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一般包括医院用地、卫生防疫用地、特殊医疗用地及其他医疗卫生用地。其中，医院用地包括综合医院、中医院、妇幼保健院（所）。具体配置要求如表4-4所示。</w:t>
      </w:r>
    </w:p>
    <w:p w:rsidR="00DA44CC" w:rsidRDefault="00C53A1B">
      <w:pPr>
        <w:spacing w:line="360" w:lineRule="auto"/>
        <w:jc w:val="center"/>
        <w:rPr>
          <w:rFonts w:ascii="黑体" w:eastAsia="黑体" w:hAnsi="黑体"/>
        </w:rPr>
      </w:pPr>
      <w:r>
        <w:rPr>
          <w:rFonts w:ascii="黑体" w:eastAsia="黑体" w:hAnsi="黑体" w:hint="eastAsia"/>
        </w:rPr>
        <w:t>表4-4市区级医疗卫生设施配建标准</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8"/>
        <w:gridCol w:w="1368"/>
        <w:gridCol w:w="1416"/>
        <w:gridCol w:w="1469"/>
        <w:gridCol w:w="3935"/>
      </w:tblGrid>
      <w:tr w:rsidR="00DA44CC" w:rsidTr="00D43F73">
        <w:trPr>
          <w:trHeight w:val="20"/>
        </w:trPr>
        <w:tc>
          <w:tcPr>
            <w:tcW w:w="2396" w:type="dxa"/>
            <w:gridSpan w:val="2"/>
            <w:vMerge w:val="restart"/>
            <w:tcBorders>
              <w:top w:val="single" w:sz="12" w:space="0" w:color="auto"/>
              <w:left w:val="single" w:sz="12" w:space="0" w:color="auto"/>
              <w:right w:val="single" w:sz="4" w:space="0" w:color="auto"/>
            </w:tcBorders>
            <w:vAlign w:val="center"/>
          </w:tcPr>
          <w:p w:rsidR="00DA44CC" w:rsidRDefault="00C53A1B" w:rsidP="00D43F73">
            <w:pPr>
              <w:adjustRightInd w:val="0"/>
              <w:snapToGrid w:val="0"/>
              <w:spacing w:line="200" w:lineRule="exact"/>
              <w:jc w:val="center"/>
              <w:rPr>
                <w:rFonts w:ascii="黑体" w:eastAsia="黑体" w:hAnsi="黑体"/>
                <w:sz w:val="18"/>
                <w:szCs w:val="18"/>
              </w:rPr>
            </w:pPr>
            <w:r>
              <w:rPr>
                <w:rFonts w:ascii="黑体" w:eastAsia="黑体" w:hAnsi="黑体" w:hint="eastAsia"/>
                <w:sz w:val="18"/>
                <w:szCs w:val="18"/>
              </w:rPr>
              <w:t>内容</w:t>
            </w:r>
          </w:p>
        </w:tc>
        <w:tc>
          <w:tcPr>
            <w:tcW w:w="6820" w:type="dxa"/>
            <w:gridSpan w:val="3"/>
            <w:tcBorders>
              <w:top w:val="single" w:sz="12" w:space="0" w:color="auto"/>
              <w:left w:val="single" w:sz="4" w:space="0" w:color="auto"/>
              <w:right w:val="single" w:sz="12" w:space="0" w:color="auto"/>
            </w:tcBorders>
            <w:vAlign w:val="center"/>
          </w:tcPr>
          <w:p w:rsidR="00DA44CC" w:rsidRDefault="00C53A1B" w:rsidP="00D43F73">
            <w:pPr>
              <w:adjustRightInd w:val="0"/>
              <w:snapToGrid w:val="0"/>
              <w:spacing w:line="200" w:lineRule="exact"/>
              <w:jc w:val="center"/>
              <w:rPr>
                <w:rFonts w:ascii="黑体" w:eastAsia="黑体" w:hAnsi="黑体"/>
                <w:sz w:val="18"/>
                <w:szCs w:val="18"/>
              </w:rPr>
            </w:pPr>
            <w:r>
              <w:rPr>
                <w:rFonts w:ascii="黑体" w:eastAsia="黑体" w:hAnsi="黑体" w:hint="eastAsia"/>
                <w:sz w:val="18"/>
                <w:szCs w:val="18"/>
              </w:rPr>
              <w:t>标准</w:t>
            </w:r>
          </w:p>
        </w:tc>
      </w:tr>
      <w:tr w:rsidR="00DA44CC" w:rsidTr="00D43F73">
        <w:trPr>
          <w:trHeight w:val="20"/>
        </w:trPr>
        <w:tc>
          <w:tcPr>
            <w:tcW w:w="2396" w:type="dxa"/>
            <w:gridSpan w:val="2"/>
            <w:vMerge/>
            <w:tcBorders>
              <w:left w:val="single" w:sz="12" w:space="0" w:color="auto"/>
              <w:right w:val="single" w:sz="4" w:space="0" w:color="auto"/>
            </w:tcBorders>
            <w:vAlign w:val="center"/>
          </w:tcPr>
          <w:p w:rsidR="00DA44CC" w:rsidRDefault="00DA44CC" w:rsidP="00D43F73">
            <w:pPr>
              <w:adjustRightInd w:val="0"/>
              <w:snapToGrid w:val="0"/>
              <w:spacing w:line="200" w:lineRule="exact"/>
              <w:jc w:val="center"/>
              <w:rPr>
                <w:rFonts w:ascii="黑体" w:eastAsia="黑体" w:hAnsi="黑体"/>
                <w:sz w:val="18"/>
                <w:szCs w:val="18"/>
              </w:rPr>
            </w:pPr>
          </w:p>
        </w:tc>
        <w:tc>
          <w:tcPr>
            <w:tcW w:w="1416" w:type="dxa"/>
            <w:tcBorders>
              <w:left w:val="single" w:sz="4" w:space="0" w:color="auto"/>
            </w:tcBorders>
            <w:vAlign w:val="center"/>
          </w:tcPr>
          <w:p w:rsidR="00DA44CC" w:rsidRDefault="00C53A1B" w:rsidP="00D43F73">
            <w:pPr>
              <w:adjustRightInd w:val="0"/>
              <w:snapToGrid w:val="0"/>
              <w:spacing w:line="200" w:lineRule="exact"/>
              <w:jc w:val="center"/>
              <w:rPr>
                <w:rFonts w:ascii="黑体" w:eastAsia="黑体" w:hAnsi="黑体"/>
                <w:sz w:val="18"/>
                <w:szCs w:val="18"/>
              </w:rPr>
            </w:pPr>
            <w:r>
              <w:rPr>
                <w:rFonts w:ascii="黑体" w:eastAsia="黑体" w:hAnsi="黑体" w:hint="eastAsia"/>
                <w:sz w:val="18"/>
                <w:szCs w:val="18"/>
              </w:rPr>
              <w:t>用地面积</w:t>
            </w:r>
          </w:p>
        </w:tc>
        <w:tc>
          <w:tcPr>
            <w:tcW w:w="1469" w:type="dxa"/>
            <w:vAlign w:val="center"/>
          </w:tcPr>
          <w:p w:rsidR="00DA44CC" w:rsidRDefault="00C53A1B" w:rsidP="00D43F73">
            <w:pPr>
              <w:adjustRightInd w:val="0"/>
              <w:snapToGrid w:val="0"/>
              <w:spacing w:line="200" w:lineRule="exact"/>
              <w:jc w:val="center"/>
              <w:rPr>
                <w:rFonts w:ascii="黑体" w:eastAsia="黑体" w:hAnsi="黑体"/>
                <w:sz w:val="18"/>
                <w:szCs w:val="18"/>
              </w:rPr>
            </w:pPr>
            <w:r>
              <w:rPr>
                <w:rFonts w:ascii="黑体" w:eastAsia="黑体" w:hAnsi="黑体" w:hint="eastAsia"/>
                <w:sz w:val="18"/>
                <w:szCs w:val="18"/>
              </w:rPr>
              <w:t>建筑面积</w:t>
            </w:r>
          </w:p>
        </w:tc>
        <w:tc>
          <w:tcPr>
            <w:tcW w:w="3935" w:type="dxa"/>
            <w:tcBorders>
              <w:right w:val="single" w:sz="12" w:space="0" w:color="auto"/>
            </w:tcBorders>
            <w:vAlign w:val="center"/>
          </w:tcPr>
          <w:p w:rsidR="00DA44CC" w:rsidRDefault="00C53A1B" w:rsidP="00D43F73">
            <w:pPr>
              <w:adjustRightInd w:val="0"/>
              <w:snapToGrid w:val="0"/>
              <w:spacing w:line="200" w:lineRule="exact"/>
              <w:jc w:val="center"/>
              <w:rPr>
                <w:rFonts w:ascii="黑体" w:eastAsia="黑体" w:hAnsi="黑体"/>
                <w:sz w:val="18"/>
                <w:szCs w:val="18"/>
              </w:rPr>
            </w:pPr>
            <w:r>
              <w:rPr>
                <w:rFonts w:ascii="黑体" w:eastAsia="黑体" w:hAnsi="黑体" w:hint="eastAsia"/>
                <w:sz w:val="18"/>
                <w:szCs w:val="18"/>
              </w:rPr>
              <w:t>配置要求</w:t>
            </w:r>
          </w:p>
        </w:tc>
      </w:tr>
      <w:tr w:rsidR="00DA44CC" w:rsidTr="00D43F73">
        <w:trPr>
          <w:trHeight w:val="20"/>
        </w:trPr>
        <w:tc>
          <w:tcPr>
            <w:tcW w:w="1028" w:type="dxa"/>
            <w:vMerge w:val="restart"/>
            <w:tcBorders>
              <w:left w:val="single" w:sz="12" w:space="0" w:color="auto"/>
            </w:tcBorders>
            <w:shd w:val="clear" w:color="auto" w:fill="auto"/>
            <w:vAlign w:val="center"/>
          </w:tcPr>
          <w:p w:rsidR="00DA44CC" w:rsidRDefault="00C53A1B" w:rsidP="00D43F73">
            <w:pPr>
              <w:adjustRightInd w:val="0"/>
              <w:snapToGrid w:val="0"/>
              <w:spacing w:line="200" w:lineRule="exact"/>
              <w:rPr>
                <w:rFonts w:ascii="黑体" w:eastAsia="黑体" w:hAnsi="黑体"/>
                <w:sz w:val="18"/>
                <w:szCs w:val="18"/>
              </w:rPr>
            </w:pPr>
            <w:r>
              <w:rPr>
                <w:rFonts w:ascii="黑体" w:eastAsia="黑体" w:hAnsi="黑体" w:hint="eastAsia"/>
                <w:sz w:val="18"/>
                <w:szCs w:val="18"/>
              </w:rPr>
              <w:t>综合医院</w:t>
            </w:r>
          </w:p>
        </w:tc>
        <w:tc>
          <w:tcPr>
            <w:tcW w:w="1368" w:type="dxa"/>
            <w:shd w:val="clear" w:color="auto" w:fill="auto"/>
            <w:vAlign w:val="center"/>
          </w:tcPr>
          <w:p w:rsidR="00DA44CC" w:rsidRDefault="00C53A1B" w:rsidP="00D43F73">
            <w:pPr>
              <w:adjustRightInd w:val="0"/>
              <w:snapToGrid w:val="0"/>
              <w:spacing w:line="200" w:lineRule="exact"/>
              <w:rPr>
                <w:rFonts w:ascii="黑体" w:eastAsia="黑体" w:hAnsi="黑体"/>
                <w:sz w:val="18"/>
                <w:szCs w:val="18"/>
              </w:rPr>
            </w:pPr>
            <w:r>
              <w:rPr>
                <w:rFonts w:ascii="黑体" w:eastAsia="黑体" w:hAnsi="黑体" w:hint="eastAsia"/>
                <w:sz w:val="18"/>
                <w:szCs w:val="18"/>
              </w:rPr>
              <w:t>200-300床</w:t>
            </w:r>
          </w:p>
        </w:tc>
        <w:tc>
          <w:tcPr>
            <w:tcW w:w="1416" w:type="dxa"/>
            <w:shd w:val="clear" w:color="auto" w:fill="auto"/>
            <w:vAlign w:val="center"/>
          </w:tcPr>
          <w:p w:rsidR="00DA44CC" w:rsidRDefault="00C53A1B" w:rsidP="00D43F73">
            <w:pPr>
              <w:adjustRightInd w:val="0"/>
              <w:snapToGrid w:val="0"/>
              <w:spacing w:line="200" w:lineRule="exact"/>
              <w:rPr>
                <w:rFonts w:ascii="黑体" w:eastAsia="黑体" w:hAnsi="黑体"/>
                <w:sz w:val="18"/>
                <w:szCs w:val="18"/>
              </w:rPr>
            </w:pPr>
            <w:r>
              <w:rPr>
                <w:rFonts w:ascii="黑体" w:eastAsia="黑体" w:hAnsi="黑体" w:hint="eastAsia"/>
                <w:sz w:val="18"/>
                <w:szCs w:val="18"/>
              </w:rPr>
              <w:t>117㎡/床</w:t>
            </w:r>
          </w:p>
        </w:tc>
        <w:tc>
          <w:tcPr>
            <w:tcW w:w="1469" w:type="dxa"/>
            <w:shd w:val="clear" w:color="auto" w:fill="auto"/>
            <w:vAlign w:val="center"/>
          </w:tcPr>
          <w:p w:rsidR="00DA44CC" w:rsidRDefault="00C53A1B" w:rsidP="00D43F73">
            <w:pPr>
              <w:adjustRightInd w:val="0"/>
              <w:snapToGrid w:val="0"/>
              <w:spacing w:line="200" w:lineRule="exact"/>
              <w:rPr>
                <w:rFonts w:ascii="黑体" w:eastAsia="黑体" w:hAnsi="黑体"/>
                <w:sz w:val="18"/>
                <w:szCs w:val="18"/>
              </w:rPr>
            </w:pPr>
            <w:r>
              <w:rPr>
                <w:rFonts w:ascii="黑体" w:eastAsia="黑体" w:hAnsi="黑体" w:hint="eastAsia"/>
                <w:sz w:val="18"/>
                <w:szCs w:val="18"/>
              </w:rPr>
              <w:t>80㎡/床</w:t>
            </w:r>
          </w:p>
        </w:tc>
        <w:tc>
          <w:tcPr>
            <w:tcW w:w="3935" w:type="dxa"/>
            <w:vMerge w:val="restart"/>
            <w:tcBorders>
              <w:right w:val="single" w:sz="12" w:space="0" w:color="auto"/>
            </w:tcBorders>
            <w:shd w:val="clear" w:color="auto" w:fill="FFFFFF"/>
            <w:vAlign w:val="center"/>
          </w:tcPr>
          <w:p w:rsidR="00DA44CC" w:rsidRDefault="00C53A1B" w:rsidP="00D43F73">
            <w:pPr>
              <w:adjustRightInd w:val="0"/>
              <w:snapToGrid w:val="0"/>
              <w:spacing w:line="200" w:lineRule="exact"/>
              <w:jc w:val="left"/>
              <w:rPr>
                <w:rFonts w:ascii="黑体" w:eastAsia="黑体" w:hAnsi="黑体"/>
                <w:sz w:val="18"/>
                <w:szCs w:val="18"/>
              </w:rPr>
            </w:pPr>
            <w:r>
              <w:rPr>
                <w:rFonts w:ascii="黑体" w:eastAsia="黑体" w:hAnsi="黑体" w:hint="eastAsia"/>
                <w:sz w:val="18"/>
                <w:szCs w:val="18"/>
              </w:rPr>
              <w:t>在地市级区域依据常住人口数，每</w:t>
            </w:r>
            <w:r>
              <w:rPr>
                <w:rFonts w:ascii="黑体" w:eastAsia="黑体" w:hAnsi="黑体"/>
                <w:sz w:val="18"/>
                <w:szCs w:val="18"/>
              </w:rPr>
              <w:t>100</w:t>
            </w:r>
            <w:r>
              <w:rPr>
                <w:rFonts w:ascii="黑体" w:eastAsia="黑体" w:hAnsi="黑体" w:hint="eastAsia"/>
                <w:sz w:val="18"/>
                <w:szCs w:val="18"/>
              </w:rPr>
              <w:t>万</w:t>
            </w:r>
            <w:r>
              <w:rPr>
                <w:rFonts w:ascii="黑体" w:eastAsia="黑体" w:hAnsi="黑体"/>
                <w:sz w:val="18"/>
                <w:szCs w:val="18"/>
              </w:rPr>
              <w:t>-200</w:t>
            </w:r>
            <w:r>
              <w:rPr>
                <w:rFonts w:ascii="黑体" w:eastAsia="黑体" w:hAnsi="黑体" w:hint="eastAsia"/>
                <w:sz w:val="18"/>
                <w:szCs w:val="18"/>
              </w:rPr>
              <w:t>万人口设置</w:t>
            </w:r>
            <w:r>
              <w:rPr>
                <w:rFonts w:ascii="黑体" w:eastAsia="黑体" w:hAnsi="黑体"/>
                <w:sz w:val="18"/>
                <w:szCs w:val="18"/>
              </w:rPr>
              <w:t>1-2</w:t>
            </w:r>
            <w:r>
              <w:rPr>
                <w:rFonts w:ascii="黑体" w:eastAsia="黑体" w:hAnsi="黑体" w:hint="eastAsia"/>
                <w:sz w:val="18"/>
                <w:szCs w:val="18"/>
              </w:rPr>
              <w:t>个市办综合性医院（含中医院），服务半径一般为</w:t>
            </w:r>
            <w:r>
              <w:rPr>
                <w:rFonts w:ascii="黑体" w:eastAsia="黑体" w:hAnsi="黑体"/>
                <w:sz w:val="18"/>
                <w:szCs w:val="18"/>
              </w:rPr>
              <w:t>50</w:t>
            </w:r>
            <w:r>
              <w:rPr>
                <w:rFonts w:ascii="黑体" w:eastAsia="黑体" w:hAnsi="黑体" w:hint="eastAsia"/>
                <w:sz w:val="18"/>
                <w:szCs w:val="18"/>
              </w:rPr>
              <w:t>公里左右。</w:t>
            </w:r>
            <w:r>
              <w:rPr>
                <w:rFonts w:ascii="黑体" w:eastAsia="黑体" w:hAnsi="黑体"/>
                <w:sz w:val="18"/>
                <w:szCs w:val="18"/>
              </w:rPr>
              <w:t xml:space="preserve"> </w:t>
            </w:r>
            <w:r>
              <w:rPr>
                <w:rFonts w:ascii="黑体" w:eastAsia="黑体" w:hAnsi="黑体" w:hint="eastAsia"/>
                <w:sz w:val="18"/>
                <w:szCs w:val="18"/>
              </w:rPr>
              <w:t>市办综合性医院床位数一般以</w:t>
            </w:r>
            <w:r>
              <w:rPr>
                <w:rFonts w:ascii="黑体" w:eastAsia="黑体" w:hAnsi="黑体"/>
                <w:sz w:val="18"/>
                <w:szCs w:val="18"/>
              </w:rPr>
              <w:t>800</w:t>
            </w:r>
            <w:r>
              <w:rPr>
                <w:rFonts w:ascii="黑体" w:eastAsia="黑体" w:hAnsi="黑体" w:hint="eastAsia"/>
                <w:sz w:val="18"/>
                <w:szCs w:val="18"/>
              </w:rPr>
              <w:t>张左右为宜；</w:t>
            </w:r>
          </w:p>
          <w:p w:rsidR="00DA44CC" w:rsidRDefault="00C53A1B" w:rsidP="00D43F73">
            <w:pPr>
              <w:adjustRightInd w:val="0"/>
              <w:snapToGrid w:val="0"/>
              <w:spacing w:line="200" w:lineRule="exact"/>
              <w:jc w:val="left"/>
              <w:rPr>
                <w:rFonts w:ascii="黑体" w:eastAsia="黑体" w:hAnsi="黑体"/>
                <w:sz w:val="18"/>
                <w:szCs w:val="18"/>
              </w:rPr>
            </w:pPr>
            <w:r>
              <w:rPr>
                <w:rFonts w:ascii="黑体" w:eastAsia="黑体" w:hAnsi="黑体" w:hint="eastAsia"/>
                <w:sz w:val="18"/>
                <w:szCs w:val="18"/>
              </w:rPr>
              <w:t>中医院（中西医结合医院）,按20-50万人设置一处，建设规模为</w:t>
            </w:r>
            <w:r>
              <w:rPr>
                <w:rFonts w:ascii="黑体" w:eastAsia="黑体" w:hAnsi="黑体"/>
                <w:sz w:val="18"/>
                <w:szCs w:val="18"/>
              </w:rPr>
              <w:t>200</w:t>
            </w:r>
            <w:r>
              <w:rPr>
                <w:rFonts w:ascii="黑体" w:eastAsia="黑体" w:hAnsi="黑体" w:hint="eastAsia"/>
                <w:sz w:val="18"/>
                <w:szCs w:val="18"/>
              </w:rPr>
              <w:t>-5</w:t>
            </w:r>
            <w:r>
              <w:rPr>
                <w:rFonts w:ascii="黑体" w:eastAsia="黑体" w:hAnsi="黑体"/>
                <w:sz w:val="18"/>
                <w:szCs w:val="18"/>
              </w:rPr>
              <w:t>00</w:t>
            </w:r>
            <w:r>
              <w:rPr>
                <w:rFonts w:ascii="黑体" w:eastAsia="黑体" w:hAnsi="黑体" w:hint="eastAsia"/>
                <w:sz w:val="18"/>
                <w:szCs w:val="18"/>
              </w:rPr>
              <w:t>床/院；</w:t>
            </w:r>
          </w:p>
          <w:p w:rsidR="00DA44CC" w:rsidRDefault="00C53A1B" w:rsidP="00D43F73">
            <w:pPr>
              <w:adjustRightInd w:val="0"/>
              <w:snapToGrid w:val="0"/>
              <w:spacing w:line="200" w:lineRule="exact"/>
              <w:jc w:val="left"/>
              <w:rPr>
                <w:rFonts w:ascii="黑体" w:eastAsia="黑体" w:hAnsi="黑体"/>
                <w:sz w:val="18"/>
                <w:szCs w:val="18"/>
              </w:rPr>
            </w:pPr>
            <w:r>
              <w:rPr>
                <w:rFonts w:ascii="黑体" w:eastAsia="黑体" w:hAnsi="黑体" w:hint="eastAsia"/>
                <w:sz w:val="18"/>
                <w:szCs w:val="18"/>
              </w:rPr>
              <w:t>中心城区按15～20万服务人口设置一所400～1000床综合性医院</w:t>
            </w:r>
          </w:p>
        </w:tc>
      </w:tr>
      <w:tr w:rsidR="00DA44CC">
        <w:tc>
          <w:tcPr>
            <w:tcW w:w="1028" w:type="dxa"/>
            <w:vMerge/>
            <w:tcBorders>
              <w:left w:val="single" w:sz="12" w:space="0" w:color="auto"/>
            </w:tcBorders>
            <w:shd w:val="clear" w:color="auto" w:fill="auto"/>
            <w:vAlign w:val="center"/>
          </w:tcPr>
          <w:p w:rsidR="00DA44CC" w:rsidRDefault="00DA44CC">
            <w:pPr>
              <w:adjustRightInd w:val="0"/>
              <w:snapToGrid w:val="0"/>
              <w:spacing w:line="240" w:lineRule="atLeast"/>
              <w:rPr>
                <w:rFonts w:ascii="黑体" w:eastAsia="黑体" w:hAnsi="黑体"/>
                <w:sz w:val="18"/>
                <w:szCs w:val="18"/>
              </w:rPr>
            </w:pPr>
          </w:p>
        </w:tc>
        <w:tc>
          <w:tcPr>
            <w:tcW w:w="1368"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400-500床</w:t>
            </w:r>
          </w:p>
        </w:tc>
        <w:tc>
          <w:tcPr>
            <w:tcW w:w="1416"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115㎡/床</w:t>
            </w:r>
          </w:p>
        </w:tc>
        <w:tc>
          <w:tcPr>
            <w:tcW w:w="1469"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83㎡/床</w:t>
            </w:r>
          </w:p>
        </w:tc>
        <w:tc>
          <w:tcPr>
            <w:tcW w:w="3935" w:type="dxa"/>
            <w:vMerge/>
            <w:tcBorders>
              <w:right w:val="single" w:sz="12" w:space="0" w:color="auto"/>
            </w:tcBorders>
            <w:shd w:val="clear" w:color="auto" w:fill="FFFFFF"/>
            <w:vAlign w:val="center"/>
          </w:tcPr>
          <w:p w:rsidR="00DA44CC" w:rsidRDefault="00DA44CC">
            <w:pPr>
              <w:adjustRightInd w:val="0"/>
              <w:snapToGrid w:val="0"/>
              <w:spacing w:line="240" w:lineRule="atLeast"/>
              <w:jc w:val="left"/>
              <w:rPr>
                <w:rFonts w:ascii="黑体" w:eastAsia="黑体" w:hAnsi="黑体"/>
                <w:sz w:val="18"/>
                <w:szCs w:val="18"/>
              </w:rPr>
            </w:pPr>
          </w:p>
        </w:tc>
      </w:tr>
      <w:tr w:rsidR="00DA44CC">
        <w:tc>
          <w:tcPr>
            <w:tcW w:w="1028" w:type="dxa"/>
            <w:vMerge/>
            <w:tcBorders>
              <w:left w:val="single" w:sz="12" w:space="0" w:color="auto"/>
            </w:tcBorders>
            <w:shd w:val="clear" w:color="auto" w:fill="auto"/>
            <w:vAlign w:val="center"/>
          </w:tcPr>
          <w:p w:rsidR="00DA44CC" w:rsidRDefault="00DA44CC">
            <w:pPr>
              <w:adjustRightInd w:val="0"/>
              <w:snapToGrid w:val="0"/>
              <w:spacing w:line="240" w:lineRule="atLeast"/>
              <w:rPr>
                <w:rFonts w:ascii="黑体" w:eastAsia="黑体" w:hAnsi="黑体"/>
                <w:sz w:val="18"/>
                <w:szCs w:val="18"/>
              </w:rPr>
            </w:pPr>
          </w:p>
        </w:tc>
        <w:tc>
          <w:tcPr>
            <w:tcW w:w="1368"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600-700床</w:t>
            </w:r>
          </w:p>
        </w:tc>
        <w:tc>
          <w:tcPr>
            <w:tcW w:w="1416"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113㎡/床</w:t>
            </w:r>
          </w:p>
        </w:tc>
        <w:tc>
          <w:tcPr>
            <w:tcW w:w="1469"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86㎡/床</w:t>
            </w:r>
          </w:p>
        </w:tc>
        <w:tc>
          <w:tcPr>
            <w:tcW w:w="3935" w:type="dxa"/>
            <w:vMerge/>
            <w:tcBorders>
              <w:right w:val="single" w:sz="12" w:space="0" w:color="auto"/>
            </w:tcBorders>
            <w:shd w:val="clear" w:color="auto" w:fill="FFFFFF"/>
            <w:vAlign w:val="center"/>
          </w:tcPr>
          <w:p w:rsidR="00DA44CC" w:rsidRDefault="00DA44CC">
            <w:pPr>
              <w:adjustRightInd w:val="0"/>
              <w:snapToGrid w:val="0"/>
              <w:spacing w:line="240" w:lineRule="atLeast"/>
              <w:jc w:val="left"/>
              <w:rPr>
                <w:rFonts w:ascii="黑体" w:eastAsia="黑体" w:hAnsi="黑体"/>
                <w:sz w:val="18"/>
                <w:szCs w:val="18"/>
              </w:rPr>
            </w:pPr>
          </w:p>
        </w:tc>
      </w:tr>
      <w:tr w:rsidR="00DA44CC">
        <w:tc>
          <w:tcPr>
            <w:tcW w:w="1028" w:type="dxa"/>
            <w:vMerge/>
            <w:tcBorders>
              <w:left w:val="single" w:sz="12" w:space="0" w:color="auto"/>
            </w:tcBorders>
            <w:shd w:val="clear" w:color="auto" w:fill="auto"/>
            <w:vAlign w:val="center"/>
          </w:tcPr>
          <w:p w:rsidR="00DA44CC" w:rsidRDefault="00DA44CC">
            <w:pPr>
              <w:adjustRightInd w:val="0"/>
              <w:snapToGrid w:val="0"/>
              <w:spacing w:line="240" w:lineRule="atLeast"/>
              <w:rPr>
                <w:rFonts w:ascii="黑体" w:eastAsia="黑体" w:hAnsi="黑体"/>
                <w:sz w:val="18"/>
                <w:szCs w:val="18"/>
              </w:rPr>
            </w:pPr>
          </w:p>
        </w:tc>
        <w:tc>
          <w:tcPr>
            <w:tcW w:w="1368"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800-900床</w:t>
            </w:r>
          </w:p>
        </w:tc>
        <w:tc>
          <w:tcPr>
            <w:tcW w:w="1416"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111㎡/床</w:t>
            </w:r>
          </w:p>
        </w:tc>
        <w:tc>
          <w:tcPr>
            <w:tcW w:w="1469"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88㎡/床</w:t>
            </w:r>
          </w:p>
        </w:tc>
        <w:tc>
          <w:tcPr>
            <w:tcW w:w="3935" w:type="dxa"/>
            <w:vMerge/>
            <w:tcBorders>
              <w:right w:val="single" w:sz="12" w:space="0" w:color="auto"/>
            </w:tcBorders>
            <w:shd w:val="clear" w:color="auto" w:fill="FFFFFF"/>
            <w:vAlign w:val="center"/>
          </w:tcPr>
          <w:p w:rsidR="00DA44CC" w:rsidRDefault="00DA44CC">
            <w:pPr>
              <w:adjustRightInd w:val="0"/>
              <w:snapToGrid w:val="0"/>
              <w:spacing w:line="240" w:lineRule="atLeast"/>
              <w:jc w:val="left"/>
              <w:rPr>
                <w:rFonts w:ascii="黑体" w:eastAsia="黑体" w:hAnsi="黑体"/>
                <w:sz w:val="18"/>
                <w:szCs w:val="18"/>
              </w:rPr>
            </w:pPr>
          </w:p>
        </w:tc>
      </w:tr>
      <w:tr w:rsidR="00DA44CC">
        <w:tc>
          <w:tcPr>
            <w:tcW w:w="1028" w:type="dxa"/>
            <w:vMerge/>
            <w:tcBorders>
              <w:left w:val="single" w:sz="12" w:space="0" w:color="auto"/>
            </w:tcBorders>
            <w:shd w:val="clear" w:color="auto" w:fill="auto"/>
            <w:vAlign w:val="center"/>
          </w:tcPr>
          <w:p w:rsidR="00DA44CC" w:rsidRDefault="00DA44CC">
            <w:pPr>
              <w:adjustRightInd w:val="0"/>
              <w:snapToGrid w:val="0"/>
              <w:spacing w:line="240" w:lineRule="atLeast"/>
              <w:rPr>
                <w:rFonts w:ascii="黑体" w:eastAsia="黑体" w:hAnsi="黑体"/>
                <w:sz w:val="18"/>
                <w:szCs w:val="18"/>
              </w:rPr>
            </w:pPr>
          </w:p>
        </w:tc>
        <w:tc>
          <w:tcPr>
            <w:tcW w:w="1368"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1000床</w:t>
            </w:r>
          </w:p>
        </w:tc>
        <w:tc>
          <w:tcPr>
            <w:tcW w:w="1416"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109㎡/床</w:t>
            </w:r>
          </w:p>
        </w:tc>
        <w:tc>
          <w:tcPr>
            <w:tcW w:w="1469"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90㎡/床</w:t>
            </w:r>
          </w:p>
        </w:tc>
        <w:tc>
          <w:tcPr>
            <w:tcW w:w="3935" w:type="dxa"/>
            <w:vMerge/>
            <w:tcBorders>
              <w:right w:val="single" w:sz="12" w:space="0" w:color="auto"/>
            </w:tcBorders>
            <w:shd w:val="clear" w:color="auto" w:fill="FFFFFF"/>
            <w:vAlign w:val="center"/>
          </w:tcPr>
          <w:p w:rsidR="00DA44CC" w:rsidRDefault="00DA44CC">
            <w:pPr>
              <w:adjustRightInd w:val="0"/>
              <w:snapToGrid w:val="0"/>
              <w:spacing w:line="240" w:lineRule="atLeast"/>
              <w:jc w:val="left"/>
              <w:rPr>
                <w:rFonts w:ascii="黑体" w:eastAsia="黑体" w:hAnsi="黑体"/>
                <w:sz w:val="18"/>
                <w:szCs w:val="18"/>
              </w:rPr>
            </w:pPr>
          </w:p>
        </w:tc>
      </w:tr>
      <w:tr w:rsidR="00DA44CC">
        <w:trPr>
          <w:trHeight w:val="328"/>
        </w:trPr>
        <w:tc>
          <w:tcPr>
            <w:tcW w:w="1028" w:type="dxa"/>
            <w:vMerge w:val="restart"/>
            <w:tcBorders>
              <w:left w:val="single" w:sz="12" w:space="0" w:color="auto"/>
            </w:tcBorders>
            <w:shd w:val="clear" w:color="auto" w:fill="FFFFFF"/>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lastRenderedPageBreak/>
              <w:t>妇幼保健院/所</w:t>
            </w:r>
          </w:p>
        </w:tc>
        <w:tc>
          <w:tcPr>
            <w:tcW w:w="1368" w:type="dxa"/>
            <w:shd w:val="clear" w:color="auto" w:fill="FFFFFF"/>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市级</w:t>
            </w:r>
          </w:p>
        </w:tc>
        <w:tc>
          <w:tcPr>
            <w:tcW w:w="1416" w:type="dxa"/>
            <w:shd w:val="clear" w:color="auto" w:fill="FFFFFF"/>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469" w:type="dxa"/>
            <w:shd w:val="clear" w:color="auto" w:fill="FFFFFF"/>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16</w:t>
            </w:r>
            <w:r>
              <w:rPr>
                <w:rFonts w:ascii="黑体" w:eastAsia="黑体" w:hAnsi="黑体"/>
                <w:sz w:val="18"/>
                <w:szCs w:val="18"/>
              </w:rPr>
              <w:t>00</w:t>
            </w:r>
            <w:r>
              <w:rPr>
                <w:rFonts w:ascii="黑体" w:eastAsia="黑体" w:hAnsi="黑体" w:hint="eastAsia"/>
                <w:sz w:val="18"/>
                <w:szCs w:val="18"/>
              </w:rPr>
              <w:t>-24</w:t>
            </w:r>
            <w:r>
              <w:rPr>
                <w:rFonts w:ascii="黑体" w:eastAsia="黑体" w:hAnsi="黑体"/>
                <w:sz w:val="18"/>
                <w:szCs w:val="18"/>
              </w:rPr>
              <w:t>00</w:t>
            </w:r>
            <w:r>
              <w:rPr>
                <w:rFonts w:ascii="黑体" w:eastAsia="黑体" w:hAnsi="黑体" w:hint="eastAsia"/>
                <w:sz w:val="18"/>
                <w:szCs w:val="18"/>
              </w:rPr>
              <w:t>㎡</w:t>
            </w:r>
          </w:p>
        </w:tc>
        <w:tc>
          <w:tcPr>
            <w:tcW w:w="3935" w:type="dxa"/>
            <w:vMerge w:val="restart"/>
            <w:tcBorders>
              <w:right w:val="single" w:sz="12" w:space="0" w:color="auto"/>
            </w:tcBorders>
            <w:shd w:val="clear" w:color="auto" w:fill="FFFFFF"/>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市级设置妇幼保健院，区级设置妇幼保健院/所</w:t>
            </w:r>
          </w:p>
        </w:tc>
      </w:tr>
      <w:tr w:rsidR="00DA44CC">
        <w:tc>
          <w:tcPr>
            <w:tcW w:w="1028" w:type="dxa"/>
            <w:vMerge/>
            <w:tcBorders>
              <w:left w:val="single" w:sz="12" w:space="0" w:color="auto"/>
            </w:tcBorders>
            <w:shd w:val="clear" w:color="auto" w:fill="FFFFFF"/>
            <w:vAlign w:val="center"/>
          </w:tcPr>
          <w:p w:rsidR="00DA44CC" w:rsidRDefault="00DA44CC">
            <w:pPr>
              <w:adjustRightInd w:val="0"/>
              <w:snapToGrid w:val="0"/>
              <w:spacing w:line="240" w:lineRule="atLeast"/>
              <w:rPr>
                <w:rFonts w:ascii="黑体" w:eastAsia="黑体" w:hAnsi="黑体"/>
                <w:sz w:val="18"/>
                <w:szCs w:val="18"/>
              </w:rPr>
            </w:pPr>
          </w:p>
        </w:tc>
        <w:tc>
          <w:tcPr>
            <w:tcW w:w="1368" w:type="dxa"/>
            <w:shd w:val="clear" w:color="auto" w:fill="FFFFFF"/>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区级</w:t>
            </w:r>
          </w:p>
        </w:tc>
        <w:tc>
          <w:tcPr>
            <w:tcW w:w="1416" w:type="dxa"/>
            <w:shd w:val="clear" w:color="auto" w:fill="FFFFFF"/>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469" w:type="dxa"/>
            <w:shd w:val="clear" w:color="auto" w:fill="FFFFFF"/>
            <w:vAlign w:val="center"/>
          </w:tcPr>
          <w:p w:rsidR="00DA44CC" w:rsidRDefault="00C53A1B">
            <w:pPr>
              <w:adjustRightInd w:val="0"/>
              <w:snapToGrid w:val="0"/>
              <w:spacing w:before="93" w:line="240" w:lineRule="atLeast"/>
              <w:textAlignment w:val="top"/>
              <w:rPr>
                <w:rFonts w:ascii="黑体" w:eastAsia="黑体" w:hAnsi="黑体"/>
                <w:sz w:val="18"/>
                <w:szCs w:val="18"/>
              </w:rPr>
            </w:pPr>
            <w:r>
              <w:rPr>
                <w:rFonts w:ascii="黑体" w:eastAsia="黑体" w:hAnsi="黑体" w:hint="eastAsia"/>
                <w:sz w:val="18"/>
                <w:szCs w:val="18"/>
              </w:rPr>
              <w:t>8</w:t>
            </w:r>
            <w:r>
              <w:rPr>
                <w:rFonts w:ascii="黑体" w:eastAsia="黑体" w:hAnsi="黑体"/>
                <w:sz w:val="18"/>
                <w:szCs w:val="18"/>
              </w:rPr>
              <w:t>00</w:t>
            </w:r>
            <w:r>
              <w:rPr>
                <w:rFonts w:ascii="黑体" w:eastAsia="黑体" w:hAnsi="黑体" w:hint="eastAsia"/>
                <w:sz w:val="18"/>
                <w:szCs w:val="18"/>
              </w:rPr>
              <w:t>-16</w:t>
            </w:r>
            <w:r>
              <w:rPr>
                <w:rFonts w:ascii="黑体" w:eastAsia="黑体" w:hAnsi="黑体"/>
                <w:sz w:val="18"/>
                <w:szCs w:val="18"/>
              </w:rPr>
              <w:t>00</w:t>
            </w:r>
            <w:r>
              <w:rPr>
                <w:rFonts w:ascii="黑体" w:eastAsia="黑体" w:hAnsi="黑体" w:hint="eastAsia"/>
                <w:sz w:val="18"/>
                <w:szCs w:val="18"/>
              </w:rPr>
              <w:t>㎡</w:t>
            </w:r>
          </w:p>
        </w:tc>
        <w:tc>
          <w:tcPr>
            <w:tcW w:w="3935" w:type="dxa"/>
            <w:vMerge/>
            <w:tcBorders>
              <w:right w:val="single" w:sz="12" w:space="0" w:color="auto"/>
            </w:tcBorders>
            <w:shd w:val="clear" w:color="auto" w:fill="FFFFFF"/>
            <w:vAlign w:val="center"/>
          </w:tcPr>
          <w:p w:rsidR="00DA44CC" w:rsidRDefault="00DA44CC">
            <w:pPr>
              <w:adjustRightInd w:val="0"/>
              <w:snapToGrid w:val="0"/>
              <w:spacing w:line="240" w:lineRule="atLeast"/>
              <w:jc w:val="left"/>
              <w:rPr>
                <w:rFonts w:ascii="黑体" w:eastAsia="黑体" w:hAnsi="黑体"/>
                <w:sz w:val="18"/>
                <w:szCs w:val="18"/>
              </w:rPr>
            </w:pPr>
          </w:p>
        </w:tc>
      </w:tr>
      <w:tr w:rsidR="00DA44CC">
        <w:tc>
          <w:tcPr>
            <w:tcW w:w="1028" w:type="dxa"/>
            <w:vMerge w:val="restart"/>
            <w:tcBorders>
              <w:left w:val="single" w:sz="12" w:space="0" w:color="auto"/>
            </w:tcBorders>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疾病防控中心</w:t>
            </w:r>
          </w:p>
        </w:tc>
        <w:tc>
          <w:tcPr>
            <w:tcW w:w="136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市级</w:t>
            </w:r>
          </w:p>
        </w:tc>
        <w:tc>
          <w:tcPr>
            <w:tcW w:w="141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4700</w:t>
            </w:r>
            <w:r>
              <w:rPr>
                <w:rFonts w:ascii="黑体" w:eastAsia="黑体" w:hAnsi="黑体" w:hint="eastAsia"/>
                <w:sz w:val="18"/>
                <w:szCs w:val="18"/>
              </w:rPr>
              <w:t>-</w:t>
            </w:r>
            <w:r>
              <w:rPr>
                <w:rFonts w:ascii="黑体" w:eastAsia="黑体" w:hAnsi="黑体"/>
                <w:sz w:val="18"/>
                <w:szCs w:val="18"/>
              </w:rPr>
              <w:t>5800</w:t>
            </w:r>
            <w:r>
              <w:rPr>
                <w:rFonts w:ascii="黑体" w:eastAsia="黑体" w:hAnsi="黑体" w:hint="eastAsia"/>
                <w:sz w:val="18"/>
                <w:szCs w:val="18"/>
              </w:rPr>
              <w:t>m2</w:t>
            </w:r>
            <w:r>
              <w:rPr>
                <w:rFonts w:ascii="黑体" w:eastAsia="黑体" w:hAnsi="黑体"/>
                <w:sz w:val="18"/>
                <w:szCs w:val="18"/>
              </w:rPr>
              <w:t xml:space="preserve"> </w:t>
            </w:r>
          </w:p>
        </w:tc>
        <w:tc>
          <w:tcPr>
            <w:tcW w:w="1469"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4000</w:t>
            </w:r>
            <w:r>
              <w:rPr>
                <w:rFonts w:ascii="黑体" w:eastAsia="黑体" w:hAnsi="黑体" w:hint="eastAsia"/>
                <w:sz w:val="18"/>
                <w:szCs w:val="18"/>
              </w:rPr>
              <w:t>-</w:t>
            </w:r>
            <w:r>
              <w:rPr>
                <w:rFonts w:ascii="黑体" w:eastAsia="黑体" w:hAnsi="黑体"/>
                <w:sz w:val="18"/>
                <w:szCs w:val="18"/>
              </w:rPr>
              <w:t>5000</w:t>
            </w:r>
            <w:r>
              <w:rPr>
                <w:rFonts w:ascii="黑体" w:eastAsia="黑体" w:hAnsi="黑体" w:hint="eastAsia"/>
                <w:sz w:val="18"/>
                <w:szCs w:val="18"/>
              </w:rPr>
              <w:t>㎡</w:t>
            </w:r>
            <w:r>
              <w:rPr>
                <w:rFonts w:ascii="黑体" w:eastAsia="黑体" w:hAnsi="黑体"/>
                <w:sz w:val="18"/>
                <w:szCs w:val="18"/>
              </w:rPr>
              <w:t xml:space="preserve"> </w:t>
            </w:r>
          </w:p>
        </w:tc>
        <w:tc>
          <w:tcPr>
            <w:tcW w:w="3935" w:type="dxa"/>
            <w:vMerge w:val="restart"/>
            <w:tcBorders>
              <w:right w:val="single" w:sz="12" w:space="0" w:color="auto"/>
            </w:tcBorders>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市级至少设置一处，每区至少设置一处</w:t>
            </w:r>
          </w:p>
        </w:tc>
      </w:tr>
      <w:tr w:rsidR="00DA44CC">
        <w:tc>
          <w:tcPr>
            <w:tcW w:w="1028" w:type="dxa"/>
            <w:vMerge/>
            <w:tcBorders>
              <w:left w:val="single" w:sz="12" w:space="0" w:color="auto"/>
            </w:tcBorders>
            <w:vAlign w:val="center"/>
          </w:tcPr>
          <w:p w:rsidR="00DA44CC" w:rsidRDefault="00DA44CC">
            <w:pPr>
              <w:adjustRightInd w:val="0"/>
              <w:snapToGrid w:val="0"/>
              <w:spacing w:line="240" w:lineRule="atLeast"/>
              <w:rPr>
                <w:rFonts w:ascii="黑体" w:eastAsia="黑体" w:hAnsi="黑体"/>
                <w:sz w:val="18"/>
                <w:szCs w:val="18"/>
              </w:rPr>
            </w:pPr>
          </w:p>
        </w:tc>
        <w:tc>
          <w:tcPr>
            <w:tcW w:w="136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区级</w:t>
            </w:r>
          </w:p>
        </w:tc>
        <w:tc>
          <w:tcPr>
            <w:tcW w:w="141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2500</w:t>
            </w:r>
            <w:r>
              <w:rPr>
                <w:rFonts w:ascii="黑体" w:eastAsia="黑体" w:hAnsi="黑体" w:hint="eastAsia"/>
                <w:sz w:val="18"/>
                <w:szCs w:val="18"/>
              </w:rPr>
              <w:t>-</w:t>
            </w:r>
            <w:r>
              <w:rPr>
                <w:rFonts w:ascii="黑体" w:eastAsia="黑体" w:hAnsi="黑体"/>
                <w:sz w:val="18"/>
                <w:szCs w:val="18"/>
              </w:rPr>
              <w:t>4100</w:t>
            </w:r>
            <w:r>
              <w:rPr>
                <w:rFonts w:ascii="黑体" w:eastAsia="黑体" w:hAnsi="黑体" w:hint="eastAsia"/>
                <w:sz w:val="18"/>
                <w:szCs w:val="18"/>
              </w:rPr>
              <w:t>m2</w:t>
            </w:r>
          </w:p>
        </w:tc>
        <w:tc>
          <w:tcPr>
            <w:tcW w:w="1469"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2000</w:t>
            </w:r>
            <w:r>
              <w:rPr>
                <w:rFonts w:ascii="黑体" w:eastAsia="黑体" w:hAnsi="黑体" w:hint="eastAsia"/>
                <w:sz w:val="18"/>
                <w:szCs w:val="18"/>
              </w:rPr>
              <w:t>-</w:t>
            </w:r>
            <w:r>
              <w:rPr>
                <w:rFonts w:ascii="黑体" w:eastAsia="黑体" w:hAnsi="黑体"/>
                <w:sz w:val="18"/>
                <w:szCs w:val="18"/>
              </w:rPr>
              <w:t>3500</w:t>
            </w:r>
            <w:r>
              <w:rPr>
                <w:rFonts w:ascii="黑体" w:eastAsia="黑体" w:hAnsi="黑体" w:hint="eastAsia"/>
                <w:sz w:val="18"/>
                <w:szCs w:val="18"/>
              </w:rPr>
              <w:t>㎡</w:t>
            </w:r>
          </w:p>
        </w:tc>
        <w:tc>
          <w:tcPr>
            <w:tcW w:w="3935" w:type="dxa"/>
            <w:vMerge/>
            <w:tcBorders>
              <w:right w:val="single" w:sz="12" w:space="0" w:color="auto"/>
            </w:tcBorders>
            <w:vAlign w:val="center"/>
          </w:tcPr>
          <w:p w:rsidR="00DA44CC" w:rsidRDefault="00DA44CC">
            <w:pPr>
              <w:adjustRightInd w:val="0"/>
              <w:snapToGrid w:val="0"/>
              <w:spacing w:line="240" w:lineRule="atLeast"/>
              <w:jc w:val="left"/>
              <w:rPr>
                <w:rFonts w:ascii="黑体" w:eastAsia="黑体" w:hAnsi="黑体"/>
                <w:sz w:val="18"/>
                <w:szCs w:val="18"/>
              </w:rPr>
            </w:pPr>
          </w:p>
        </w:tc>
      </w:tr>
      <w:tr w:rsidR="00DA44CC">
        <w:tc>
          <w:tcPr>
            <w:tcW w:w="1028" w:type="dxa"/>
            <w:vMerge w:val="restart"/>
            <w:tcBorders>
              <w:left w:val="single" w:sz="12" w:space="0" w:color="auto"/>
            </w:tcBorders>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卫生监督所</w:t>
            </w:r>
          </w:p>
        </w:tc>
        <w:tc>
          <w:tcPr>
            <w:tcW w:w="136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市级</w:t>
            </w:r>
          </w:p>
        </w:tc>
        <w:tc>
          <w:tcPr>
            <w:tcW w:w="141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469"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r>
              <w:rPr>
                <w:rFonts w:ascii="黑体" w:eastAsia="黑体" w:hAnsi="黑体"/>
                <w:sz w:val="18"/>
                <w:szCs w:val="18"/>
              </w:rPr>
              <w:t>4800</w:t>
            </w:r>
            <w:r>
              <w:rPr>
                <w:rFonts w:ascii="黑体" w:eastAsia="黑体" w:hAnsi="黑体" w:hint="eastAsia"/>
                <w:sz w:val="18"/>
                <w:szCs w:val="18"/>
              </w:rPr>
              <w:t>㎡</w:t>
            </w:r>
          </w:p>
        </w:tc>
        <w:tc>
          <w:tcPr>
            <w:tcW w:w="3935" w:type="dxa"/>
            <w:vMerge w:val="restart"/>
            <w:tcBorders>
              <w:right w:val="single" w:sz="12" w:space="0" w:color="auto"/>
            </w:tcBorders>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每区至少设置一处，可与同类办公用房合建</w:t>
            </w:r>
          </w:p>
        </w:tc>
      </w:tr>
      <w:tr w:rsidR="00DA44CC">
        <w:tc>
          <w:tcPr>
            <w:tcW w:w="1028" w:type="dxa"/>
            <w:vMerge/>
            <w:tcBorders>
              <w:left w:val="single" w:sz="12" w:space="0" w:color="auto"/>
              <w:bottom w:val="single" w:sz="12" w:space="0" w:color="auto"/>
            </w:tcBorders>
            <w:vAlign w:val="center"/>
          </w:tcPr>
          <w:p w:rsidR="00DA44CC" w:rsidRDefault="00DA44CC">
            <w:pPr>
              <w:contextualSpacing/>
              <w:rPr>
                <w:rFonts w:ascii="宋体" w:hAnsi="宋体"/>
              </w:rPr>
            </w:pPr>
          </w:p>
        </w:tc>
        <w:tc>
          <w:tcPr>
            <w:tcW w:w="1368" w:type="dxa"/>
            <w:tcBorders>
              <w:bottom w:val="single" w:sz="12" w:space="0" w:color="auto"/>
            </w:tcBorders>
            <w:vAlign w:val="center"/>
          </w:tcPr>
          <w:p w:rsidR="00DA44CC" w:rsidRDefault="00C53A1B">
            <w:pPr>
              <w:contextualSpacing/>
              <w:rPr>
                <w:rFonts w:ascii="仿宋" w:hAnsi="仿宋"/>
              </w:rPr>
            </w:pPr>
            <w:r>
              <w:rPr>
                <w:rFonts w:ascii="黑体" w:eastAsia="黑体" w:hAnsi="黑体" w:hint="eastAsia"/>
                <w:sz w:val="18"/>
                <w:szCs w:val="18"/>
              </w:rPr>
              <w:t>区级</w:t>
            </w:r>
          </w:p>
        </w:tc>
        <w:tc>
          <w:tcPr>
            <w:tcW w:w="1416" w:type="dxa"/>
            <w:tcBorders>
              <w:bottom w:val="single" w:sz="12" w:space="0" w:color="auto"/>
            </w:tcBorders>
            <w:vAlign w:val="center"/>
          </w:tcPr>
          <w:p w:rsidR="00DA44CC" w:rsidRDefault="00C53A1B">
            <w:pPr>
              <w:adjustRightInd w:val="0"/>
              <w:snapToGrid w:val="0"/>
              <w:rPr>
                <w:rFonts w:ascii="仿宋" w:hAnsi="仿宋"/>
              </w:rPr>
            </w:pPr>
            <w:r>
              <w:rPr>
                <w:rFonts w:ascii="黑体" w:eastAsia="黑体" w:hAnsi="黑体" w:hint="eastAsia"/>
                <w:sz w:val="18"/>
                <w:szCs w:val="18"/>
              </w:rPr>
              <w:t>--</w:t>
            </w:r>
          </w:p>
        </w:tc>
        <w:tc>
          <w:tcPr>
            <w:tcW w:w="1469" w:type="dxa"/>
            <w:tcBorders>
              <w:bottom w:val="single" w:sz="12" w:space="0" w:color="auto"/>
            </w:tcBorders>
            <w:vAlign w:val="center"/>
          </w:tcPr>
          <w:p w:rsidR="00DA44CC" w:rsidRDefault="00C53A1B">
            <w:pPr>
              <w:autoSpaceDE w:val="0"/>
              <w:autoSpaceDN w:val="0"/>
              <w:adjustRightInd w:val="0"/>
              <w:contextualSpacing/>
              <w:textAlignment w:val="top"/>
              <w:rPr>
                <w:rFonts w:ascii="仿宋" w:hAnsi="仿宋"/>
              </w:rPr>
            </w:pPr>
            <w:r>
              <w:rPr>
                <w:rFonts w:ascii="黑体" w:eastAsia="黑体" w:hAnsi="黑体" w:hint="eastAsia"/>
                <w:sz w:val="18"/>
                <w:szCs w:val="18"/>
              </w:rPr>
              <w:t>≥</w:t>
            </w:r>
            <w:r>
              <w:rPr>
                <w:rFonts w:ascii="黑体" w:eastAsia="黑体" w:hAnsi="黑体"/>
                <w:sz w:val="18"/>
                <w:szCs w:val="18"/>
              </w:rPr>
              <w:t>2400</w:t>
            </w:r>
            <w:r>
              <w:rPr>
                <w:rFonts w:ascii="黑体" w:eastAsia="黑体" w:hAnsi="黑体" w:hint="eastAsia"/>
                <w:sz w:val="18"/>
                <w:szCs w:val="18"/>
              </w:rPr>
              <w:t>㎡</w:t>
            </w:r>
          </w:p>
        </w:tc>
        <w:tc>
          <w:tcPr>
            <w:tcW w:w="3935" w:type="dxa"/>
            <w:vMerge/>
            <w:tcBorders>
              <w:bottom w:val="single" w:sz="12" w:space="0" w:color="auto"/>
              <w:right w:val="single" w:sz="12" w:space="0" w:color="auto"/>
            </w:tcBorders>
            <w:vAlign w:val="center"/>
          </w:tcPr>
          <w:p w:rsidR="00DA44CC" w:rsidRDefault="00DA44CC">
            <w:pPr>
              <w:contextualSpacing/>
              <w:rPr>
                <w:rFonts w:ascii="仿宋" w:hAnsi="仿宋"/>
              </w:rPr>
            </w:pPr>
          </w:p>
        </w:tc>
      </w:tr>
    </w:tbl>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第二十七条  社会福利设施</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社会福利用地包括养老设施用地及社会福利设施用地。具体配置要求如表4-5所示。</w:t>
      </w:r>
    </w:p>
    <w:p w:rsidR="00DA44CC" w:rsidRDefault="00C53A1B">
      <w:pPr>
        <w:spacing w:line="360" w:lineRule="auto"/>
        <w:jc w:val="center"/>
        <w:rPr>
          <w:rFonts w:ascii="黑体" w:eastAsia="黑体" w:hAnsi="黑体"/>
        </w:rPr>
      </w:pPr>
      <w:r>
        <w:rPr>
          <w:rFonts w:ascii="黑体" w:eastAsia="黑体" w:hAnsi="黑体" w:hint="eastAsia"/>
        </w:rPr>
        <w:t>表4-5市区级社会福利设施配建标准</w:t>
      </w:r>
    </w:p>
    <w:tbl>
      <w:tblPr>
        <w:tblW w:w="921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860"/>
        <w:gridCol w:w="1556"/>
        <w:gridCol w:w="1224"/>
        <w:gridCol w:w="1535"/>
        <w:gridCol w:w="1532"/>
        <w:gridCol w:w="1224"/>
        <w:gridCol w:w="1285"/>
      </w:tblGrid>
      <w:tr w:rsidR="00DA44CC">
        <w:tc>
          <w:tcPr>
            <w:tcW w:w="860"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级别</w:t>
            </w:r>
          </w:p>
        </w:tc>
        <w:tc>
          <w:tcPr>
            <w:tcW w:w="1556"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设施名称</w:t>
            </w:r>
          </w:p>
        </w:tc>
        <w:tc>
          <w:tcPr>
            <w:tcW w:w="1224"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床位数（张）</w:t>
            </w:r>
          </w:p>
        </w:tc>
        <w:tc>
          <w:tcPr>
            <w:tcW w:w="3067" w:type="dxa"/>
            <w:gridSpan w:val="2"/>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一般规模（㎡/处）</w:t>
            </w:r>
          </w:p>
        </w:tc>
        <w:tc>
          <w:tcPr>
            <w:tcW w:w="2509" w:type="dxa"/>
            <w:gridSpan w:val="2"/>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每床指标（㎡/床）</w:t>
            </w:r>
          </w:p>
        </w:tc>
      </w:tr>
      <w:tr w:rsidR="00DA44CC">
        <w:tc>
          <w:tcPr>
            <w:tcW w:w="860" w:type="dxa"/>
            <w:vMerge/>
            <w:vAlign w:val="center"/>
          </w:tcPr>
          <w:p w:rsidR="00DA44CC" w:rsidRDefault="00DA44CC">
            <w:pPr>
              <w:adjustRightInd w:val="0"/>
              <w:snapToGrid w:val="0"/>
              <w:spacing w:line="240" w:lineRule="atLeast"/>
              <w:rPr>
                <w:rFonts w:ascii="黑体" w:eastAsia="黑体" w:hAnsi="黑体"/>
                <w:sz w:val="18"/>
                <w:szCs w:val="18"/>
              </w:rPr>
            </w:pPr>
          </w:p>
        </w:tc>
        <w:tc>
          <w:tcPr>
            <w:tcW w:w="1556" w:type="dxa"/>
            <w:vMerge/>
            <w:vAlign w:val="center"/>
          </w:tcPr>
          <w:p w:rsidR="00DA44CC" w:rsidRDefault="00DA44CC">
            <w:pPr>
              <w:adjustRightInd w:val="0"/>
              <w:snapToGrid w:val="0"/>
              <w:spacing w:line="240" w:lineRule="atLeast"/>
              <w:rPr>
                <w:rFonts w:ascii="黑体" w:eastAsia="黑体" w:hAnsi="黑体"/>
                <w:sz w:val="18"/>
                <w:szCs w:val="18"/>
              </w:rPr>
            </w:pPr>
          </w:p>
        </w:tc>
        <w:tc>
          <w:tcPr>
            <w:tcW w:w="1224" w:type="dxa"/>
            <w:vMerge/>
            <w:vAlign w:val="center"/>
          </w:tcPr>
          <w:p w:rsidR="00DA44CC" w:rsidRDefault="00DA44CC">
            <w:pPr>
              <w:adjustRightInd w:val="0"/>
              <w:snapToGrid w:val="0"/>
              <w:spacing w:line="240" w:lineRule="atLeast"/>
              <w:rPr>
                <w:rFonts w:ascii="黑体" w:eastAsia="黑体" w:hAnsi="黑体"/>
                <w:sz w:val="18"/>
                <w:szCs w:val="18"/>
              </w:rPr>
            </w:pP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建筑面积</w:t>
            </w:r>
          </w:p>
        </w:tc>
        <w:tc>
          <w:tcPr>
            <w:tcW w:w="15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用地面积</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建筑面积</w:t>
            </w:r>
          </w:p>
        </w:tc>
        <w:tc>
          <w:tcPr>
            <w:tcW w:w="128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用地面积</w:t>
            </w:r>
          </w:p>
        </w:tc>
      </w:tr>
      <w:tr w:rsidR="00DA44CC">
        <w:tc>
          <w:tcPr>
            <w:tcW w:w="860"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市级</w:t>
            </w:r>
          </w:p>
        </w:tc>
        <w:tc>
          <w:tcPr>
            <w:tcW w:w="155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社会福利中心</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2000</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100000</w:t>
            </w:r>
          </w:p>
        </w:tc>
        <w:tc>
          <w:tcPr>
            <w:tcW w:w="15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100000</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28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r>
      <w:tr w:rsidR="00DA44CC">
        <w:tc>
          <w:tcPr>
            <w:tcW w:w="860" w:type="dxa"/>
            <w:vMerge/>
            <w:vAlign w:val="center"/>
          </w:tcPr>
          <w:p w:rsidR="00DA44CC" w:rsidRDefault="00DA44CC">
            <w:pPr>
              <w:adjustRightInd w:val="0"/>
              <w:snapToGrid w:val="0"/>
              <w:spacing w:line="240" w:lineRule="atLeast"/>
              <w:rPr>
                <w:rFonts w:ascii="黑体" w:eastAsia="黑体" w:hAnsi="黑体"/>
                <w:sz w:val="18"/>
                <w:szCs w:val="18"/>
              </w:rPr>
            </w:pPr>
          </w:p>
        </w:tc>
        <w:tc>
          <w:tcPr>
            <w:tcW w:w="155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社会福利院</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500-1000</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17500-40000</w:t>
            </w:r>
          </w:p>
        </w:tc>
        <w:tc>
          <w:tcPr>
            <w:tcW w:w="15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22500-50000</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35</w:t>
            </w:r>
          </w:p>
        </w:tc>
        <w:tc>
          <w:tcPr>
            <w:tcW w:w="128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45</w:t>
            </w:r>
          </w:p>
        </w:tc>
      </w:tr>
      <w:tr w:rsidR="00DA44CC">
        <w:tc>
          <w:tcPr>
            <w:tcW w:w="860" w:type="dxa"/>
            <w:vMerge/>
            <w:vAlign w:val="center"/>
          </w:tcPr>
          <w:p w:rsidR="00DA44CC" w:rsidRDefault="00DA44CC">
            <w:pPr>
              <w:adjustRightInd w:val="0"/>
              <w:snapToGrid w:val="0"/>
              <w:spacing w:line="240" w:lineRule="atLeast"/>
              <w:rPr>
                <w:rFonts w:ascii="黑体" w:eastAsia="黑体" w:hAnsi="黑体"/>
                <w:sz w:val="18"/>
                <w:szCs w:val="18"/>
              </w:rPr>
            </w:pPr>
          </w:p>
        </w:tc>
        <w:tc>
          <w:tcPr>
            <w:tcW w:w="155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养老院</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500</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17500-32000</w:t>
            </w:r>
          </w:p>
        </w:tc>
        <w:tc>
          <w:tcPr>
            <w:tcW w:w="15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22500-36000</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35</w:t>
            </w:r>
          </w:p>
        </w:tc>
        <w:tc>
          <w:tcPr>
            <w:tcW w:w="128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45</w:t>
            </w:r>
          </w:p>
        </w:tc>
      </w:tr>
      <w:tr w:rsidR="00DA44CC">
        <w:tc>
          <w:tcPr>
            <w:tcW w:w="860" w:type="dxa"/>
            <w:vMerge/>
            <w:vAlign w:val="center"/>
          </w:tcPr>
          <w:p w:rsidR="00DA44CC" w:rsidRDefault="00DA44CC">
            <w:pPr>
              <w:adjustRightInd w:val="0"/>
              <w:snapToGrid w:val="0"/>
              <w:spacing w:line="240" w:lineRule="atLeast"/>
              <w:rPr>
                <w:rFonts w:ascii="黑体" w:eastAsia="黑体" w:hAnsi="黑体"/>
                <w:sz w:val="18"/>
                <w:szCs w:val="18"/>
              </w:rPr>
            </w:pPr>
          </w:p>
        </w:tc>
        <w:tc>
          <w:tcPr>
            <w:tcW w:w="155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老年护理院</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400-500</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17400-21250</w:t>
            </w:r>
          </w:p>
        </w:tc>
        <w:tc>
          <w:tcPr>
            <w:tcW w:w="15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21700-26500</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42.5-43.5</w:t>
            </w:r>
          </w:p>
        </w:tc>
        <w:tc>
          <w:tcPr>
            <w:tcW w:w="128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r>
      <w:tr w:rsidR="00DA44CC">
        <w:tc>
          <w:tcPr>
            <w:tcW w:w="860" w:type="dxa"/>
            <w:vMerge/>
            <w:vAlign w:val="center"/>
          </w:tcPr>
          <w:p w:rsidR="00DA44CC" w:rsidRDefault="00DA44CC">
            <w:pPr>
              <w:adjustRightInd w:val="0"/>
              <w:snapToGrid w:val="0"/>
              <w:spacing w:line="240" w:lineRule="atLeast"/>
              <w:rPr>
                <w:rFonts w:ascii="黑体" w:eastAsia="黑体" w:hAnsi="黑体"/>
                <w:sz w:val="18"/>
                <w:szCs w:val="18"/>
              </w:rPr>
            </w:pPr>
          </w:p>
        </w:tc>
        <w:tc>
          <w:tcPr>
            <w:tcW w:w="155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儿童福利院</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250-349</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9500-13300</w:t>
            </w:r>
          </w:p>
        </w:tc>
        <w:tc>
          <w:tcPr>
            <w:tcW w:w="15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9000-22000</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37-39</w:t>
            </w:r>
          </w:p>
        </w:tc>
        <w:tc>
          <w:tcPr>
            <w:tcW w:w="128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39-65</w:t>
            </w:r>
          </w:p>
        </w:tc>
      </w:tr>
      <w:tr w:rsidR="00DA44CC">
        <w:tc>
          <w:tcPr>
            <w:tcW w:w="860" w:type="dxa"/>
            <w:vMerge/>
            <w:vAlign w:val="center"/>
          </w:tcPr>
          <w:p w:rsidR="00DA44CC" w:rsidRDefault="00DA44CC">
            <w:pPr>
              <w:adjustRightInd w:val="0"/>
              <w:snapToGrid w:val="0"/>
              <w:spacing w:line="240" w:lineRule="atLeast"/>
              <w:rPr>
                <w:rFonts w:ascii="黑体" w:eastAsia="黑体" w:hAnsi="黑体"/>
                <w:sz w:val="18"/>
                <w:szCs w:val="18"/>
              </w:rPr>
            </w:pPr>
          </w:p>
        </w:tc>
        <w:tc>
          <w:tcPr>
            <w:tcW w:w="155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残疾人康复中心</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200-400</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10000-20000</w:t>
            </w:r>
          </w:p>
        </w:tc>
        <w:tc>
          <w:tcPr>
            <w:tcW w:w="15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12000-24000</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28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r>
      <w:tr w:rsidR="00DA44CC">
        <w:trPr>
          <w:trHeight w:val="319"/>
        </w:trPr>
        <w:tc>
          <w:tcPr>
            <w:tcW w:w="860" w:type="dxa"/>
            <w:vMerge/>
            <w:vAlign w:val="center"/>
          </w:tcPr>
          <w:p w:rsidR="00DA44CC" w:rsidRDefault="00DA44CC">
            <w:pPr>
              <w:adjustRightInd w:val="0"/>
              <w:snapToGrid w:val="0"/>
              <w:spacing w:line="240" w:lineRule="atLeast"/>
              <w:rPr>
                <w:rFonts w:ascii="黑体" w:eastAsia="黑体" w:hAnsi="黑体"/>
                <w:sz w:val="18"/>
                <w:szCs w:val="18"/>
              </w:rPr>
            </w:pPr>
          </w:p>
        </w:tc>
        <w:tc>
          <w:tcPr>
            <w:tcW w:w="155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救助管理站</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100-200</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5000</w:t>
            </w:r>
          </w:p>
        </w:tc>
        <w:tc>
          <w:tcPr>
            <w:tcW w:w="15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6000</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28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r>
      <w:tr w:rsidR="00DA44CC">
        <w:tc>
          <w:tcPr>
            <w:tcW w:w="860"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区级</w:t>
            </w:r>
          </w:p>
        </w:tc>
        <w:tc>
          <w:tcPr>
            <w:tcW w:w="1556"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社会福利院</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180-250</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7000-9000</w:t>
            </w:r>
          </w:p>
        </w:tc>
        <w:tc>
          <w:tcPr>
            <w:tcW w:w="15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8000-15000</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35</w:t>
            </w:r>
          </w:p>
        </w:tc>
        <w:tc>
          <w:tcPr>
            <w:tcW w:w="128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40</w:t>
            </w:r>
          </w:p>
        </w:tc>
      </w:tr>
      <w:tr w:rsidR="00DA44CC">
        <w:tc>
          <w:tcPr>
            <w:tcW w:w="860" w:type="dxa"/>
            <w:vMerge/>
            <w:vAlign w:val="center"/>
          </w:tcPr>
          <w:p w:rsidR="00DA44CC" w:rsidRDefault="00DA44CC">
            <w:pPr>
              <w:adjustRightInd w:val="0"/>
              <w:snapToGrid w:val="0"/>
              <w:spacing w:line="240" w:lineRule="atLeast"/>
              <w:rPr>
                <w:rFonts w:ascii="黑体" w:eastAsia="黑体" w:hAnsi="黑体"/>
                <w:sz w:val="18"/>
                <w:szCs w:val="18"/>
              </w:rPr>
            </w:pPr>
          </w:p>
        </w:tc>
        <w:tc>
          <w:tcPr>
            <w:tcW w:w="1556" w:type="dxa"/>
            <w:vMerge/>
            <w:vAlign w:val="center"/>
          </w:tcPr>
          <w:p w:rsidR="00DA44CC" w:rsidRDefault="00DA44CC">
            <w:pPr>
              <w:adjustRightInd w:val="0"/>
              <w:snapToGrid w:val="0"/>
              <w:spacing w:line="240" w:lineRule="atLeast"/>
              <w:rPr>
                <w:rFonts w:ascii="黑体" w:eastAsia="黑体" w:hAnsi="黑体"/>
                <w:sz w:val="18"/>
                <w:szCs w:val="18"/>
              </w:rPr>
            </w:pP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100-180</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3500-7200</w:t>
            </w:r>
          </w:p>
        </w:tc>
        <w:tc>
          <w:tcPr>
            <w:tcW w:w="15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4500-9000</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35</w:t>
            </w:r>
          </w:p>
        </w:tc>
        <w:tc>
          <w:tcPr>
            <w:tcW w:w="128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45</w:t>
            </w:r>
          </w:p>
        </w:tc>
      </w:tr>
      <w:tr w:rsidR="00DA44CC">
        <w:tc>
          <w:tcPr>
            <w:tcW w:w="860" w:type="dxa"/>
            <w:vMerge/>
            <w:vAlign w:val="center"/>
          </w:tcPr>
          <w:p w:rsidR="00DA44CC" w:rsidRDefault="00DA44CC">
            <w:pPr>
              <w:adjustRightInd w:val="0"/>
              <w:snapToGrid w:val="0"/>
              <w:spacing w:line="240" w:lineRule="atLeast"/>
              <w:rPr>
                <w:rFonts w:ascii="黑体" w:eastAsia="黑体" w:hAnsi="黑体"/>
                <w:sz w:val="18"/>
                <w:szCs w:val="18"/>
              </w:rPr>
            </w:pPr>
          </w:p>
        </w:tc>
        <w:tc>
          <w:tcPr>
            <w:tcW w:w="1556" w:type="dxa"/>
            <w:vMerge/>
            <w:vAlign w:val="center"/>
          </w:tcPr>
          <w:p w:rsidR="00DA44CC" w:rsidRDefault="00DA44CC">
            <w:pPr>
              <w:adjustRightInd w:val="0"/>
              <w:snapToGrid w:val="0"/>
              <w:spacing w:line="240" w:lineRule="atLeast"/>
              <w:rPr>
                <w:rFonts w:ascii="黑体" w:eastAsia="黑体" w:hAnsi="黑体"/>
                <w:sz w:val="18"/>
                <w:szCs w:val="18"/>
              </w:rPr>
            </w:pP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60-100</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2100-4000</w:t>
            </w:r>
          </w:p>
        </w:tc>
        <w:tc>
          <w:tcPr>
            <w:tcW w:w="15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2700-5000</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35</w:t>
            </w:r>
          </w:p>
        </w:tc>
        <w:tc>
          <w:tcPr>
            <w:tcW w:w="128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45</w:t>
            </w:r>
          </w:p>
        </w:tc>
      </w:tr>
      <w:tr w:rsidR="00DA44CC">
        <w:tc>
          <w:tcPr>
            <w:tcW w:w="860" w:type="dxa"/>
            <w:vMerge/>
            <w:vAlign w:val="center"/>
          </w:tcPr>
          <w:p w:rsidR="00DA44CC" w:rsidRDefault="00DA44CC">
            <w:pPr>
              <w:adjustRightInd w:val="0"/>
              <w:snapToGrid w:val="0"/>
              <w:spacing w:line="240" w:lineRule="atLeast"/>
              <w:rPr>
                <w:rFonts w:ascii="黑体" w:eastAsia="黑体" w:hAnsi="黑体"/>
                <w:sz w:val="18"/>
                <w:szCs w:val="18"/>
              </w:rPr>
            </w:pPr>
          </w:p>
        </w:tc>
        <w:tc>
          <w:tcPr>
            <w:tcW w:w="155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养老院</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200-300</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7000-12000</w:t>
            </w:r>
          </w:p>
        </w:tc>
        <w:tc>
          <w:tcPr>
            <w:tcW w:w="15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9000-150000</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35</w:t>
            </w:r>
          </w:p>
        </w:tc>
        <w:tc>
          <w:tcPr>
            <w:tcW w:w="128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45</w:t>
            </w:r>
          </w:p>
        </w:tc>
      </w:tr>
      <w:tr w:rsidR="00DA44CC">
        <w:tc>
          <w:tcPr>
            <w:tcW w:w="860" w:type="dxa"/>
            <w:vMerge/>
            <w:vAlign w:val="center"/>
          </w:tcPr>
          <w:p w:rsidR="00DA44CC" w:rsidRDefault="00DA44CC">
            <w:pPr>
              <w:adjustRightInd w:val="0"/>
              <w:snapToGrid w:val="0"/>
              <w:spacing w:line="240" w:lineRule="atLeast"/>
              <w:rPr>
                <w:rFonts w:ascii="黑体" w:eastAsia="黑体" w:hAnsi="黑体"/>
                <w:sz w:val="18"/>
                <w:szCs w:val="18"/>
              </w:rPr>
            </w:pPr>
          </w:p>
        </w:tc>
        <w:tc>
          <w:tcPr>
            <w:tcW w:w="155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老年护理院</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200-300</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9300-13350</w:t>
            </w:r>
          </w:p>
        </w:tc>
        <w:tc>
          <w:tcPr>
            <w:tcW w:w="15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11600-16600</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44.5-46.5</w:t>
            </w:r>
          </w:p>
        </w:tc>
        <w:tc>
          <w:tcPr>
            <w:tcW w:w="128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r>
      <w:tr w:rsidR="00DA44CC">
        <w:tc>
          <w:tcPr>
            <w:tcW w:w="860" w:type="dxa"/>
            <w:vMerge/>
            <w:vAlign w:val="center"/>
          </w:tcPr>
          <w:p w:rsidR="00DA44CC" w:rsidRDefault="00DA44CC">
            <w:pPr>
              <w:adjustRightInd w:val="0"/>
              <w:snapToGrid w:val="0"/>
              <w:spacing w:line="240" w:lineRule="atLeast"/>
              <w:rPr>
                <w:rFonts w:ascii="黑体" w:eastAsia="黑体" w:hAnsi="黑体"/>
                <w:sz w:val="18"/>
                <w:szCs w:val="18"/>
              </w:rPr>
            </w:pPr>
          </w:p>
        </w:tc>
        <w:tc>
          <w:tcPr>
            <w:tcW w:w="155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残疾人康复中心</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100-200</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5000-10000</w:t>
            </w:r>
          </w:p>
        </w:tc>
        <w:tc>
          <w:tcPr>
            <w:tcW w:w="15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6000-12000</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28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r>
      <w:tr w:rsidR="00DA44CC">
        <w:tc>
          <w:tcPr>
            <w:tcW w:w="860" w:type="dxa"/>
            <w:vMerge/>
            <w:vAlign w:val="center"/>
          </w:tcPr>
          <w:p w:rsidR="00DA44CC" w:rsidRDefault="00DA44CC">
            <w:pPr>
              <w:adjustRightInd w:val="0"/>
              <w:snapToGrid w:val="0"/>
              <w:spacing w:line="240" w:lineRule="atLeast"/>
              <w:rPr>
                <w:rFonts w:ascii="黑体" w:eastAsia="黑体" w:hAnsi="黑体"/>
                <w:sz w:val="18"/>
                <w:szCs w:val="18"/>
              </w:rPr>
            </w:pPr>
          </w:p>
        </w:tc>
        <w:tc>
          <w:tcPr>
            <w:tcW w:w="155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救助管理站</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50</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1500</w:t>
            </w:r>
          </w:p>
        </w:tc>
        <w:tc>
          <w:tcPr>
            <w:tcW w:w="15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r>
              <w:rPr>
                <w:rFonts w:ascii="黑体" w:eastAsia="黑体" w:hAnsi="黑体" w:hint="eastAsia"/>
                <w:sz w:val="18"/>
                <w:szCs w:val="18"/>
              </w:rPr>
              <w:t>2000</w:t>
            </w:r>
          </w:p>
        </w:tc>
        <w:tc>
          <w:tcPr>
            <w:tcW w:w="122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28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r>
    </w:tbl>
    <w:p w:rsidR="00DA44CC" w:rsidRDefault="00DA44CC">
      <w:pPr>
        <w:adjustRightInd w:val="0"/>
        <w:snapToGrid w:val="0"/>
        <w:spacing w:line="600" w:lineRule="exact"/>
        <w:jc w:val="center"/>
        <w:rPr>
          <w:rFonts w:ascii="方正黑体简体" w:eastAsia="方正黑体简体" w:hAnsi="宋体" w:cs="黑体"/>
          <w:color w:val="000000"/>
          <w:sz w:val="32"/>
          <w:szCs w:val="32"/>
        </w:rPr>
      </w:pPr>
    </w:p>
    <w:p w:rsidR="00DA44CC" w:rsidRDefault="00C53A1B">
      <w:pPr>
        <w:adjustRightInd w:val="0"/>
        <w:snapToGrid w:val="0"/>
        <w:spacing w:line="60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第三节  居住区级公共服务设施</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第二十八条  总体要求</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1.居住区级公共服务设施包括行政管理、文化、体育、医疗卫生、社会福利、商业等设施内容。</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2.居住区级公共服务设施，分为十五分钟生活圈居住区、十分钟生活圈居住区、五分钟生活圈居住区、居住街坊（地块）四</w:t>
      </w:r>
      <w:r>
        <w:rPr>
          <w:rFonts w:ascii="方正仿宋简体" w:eastAsia="方正仿宋简体" w:hAnsi="宋体" w:cs="仿宋_GB2312" w:hint="eastAsia"/>
          <w:color w:val="000000"/>
          <w:sz w:val="32"/>
          <w:szCs w:val="32"/>
        </w:rPr>
        <w:lastRenderedPageBreak/>
        <w:t>级。其中十五分钟生活圈居住区、十分钟生活圈居住区公共服务设施在用地分类上属于居住区公共服务设施用地（AR），五分钟生活圈居住区、居住街坊公共服务设施在用地分类上属于居住用地（R）。居住区各圈层公共服务设施配建类型如表4-6所示。</w:t>
      </w:r>
    </w:p>
    <w:p w:rsidR="00DA44CC" w:rsidRDefault="00C53A1B">
      <w:pPr>
        <w:spacing w:line="360" w:lineRule="auto"/>
        <w:jc w:val="center"/>
        <w:rPr>
          <w:rFonts w:ascii="黑体" w:eastAsia="黑体" w:hAnsi="黑体"/>
        </w:rPr>
      </w:pPr>
      <w:r>
        <w:rPr>
          <w:rFonts w:ascii="黑体" w:eastAsia="黑体" w:hAnsi="黑体" w:hint="eastAsia"/>
        </w:rPr>
        <w:t>表4-6居住区各级生活圈公共服务设施配建类型</w:t>
      </w:r>
    </w:p>
    <w:tbl>
      <w:tblPr>
        <w:tblW w:w="92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92"/>
        <w:gridCol w:w="850"/>
        <w:gridCol w:w="1969"/>
        <w:gridCol w:w="1969"/>
        <w:gridCol w:w="1969"/>
        <w:gridCol w:w="1967"/>
      </w:tblGrid>
      <w:tr w:rsidR="00DA44CC">
        <w:tc>
          <w:tcPr>
            <w:tcW w:w="1342" w:type="dxa"/>
            <w:gridSpan w:val="2"/>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类别</w:t>
            </w:r>
          </w:p>
        </w:tc>
        <w:tc>
          <w:tcPr>
            <w:tcW w:w="1969"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十五分钟生活圈</w:t>
            </w:r>
          </w:p>
        </w:tc>
        <w:tc>
          <w:tcPr>
            <w:tcW w:w="1969"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十分钟生活圈</w:t>
            </w:r>
          </w:p>
        </w:tc>
        <w:tc>
          <w:tcPr>
            <w:tcW w:w="1969"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五分钟生活圈</w:t>
            </w:r>
          </w:p>
        </w:tc>
        <w:tc>
          <w:tcPr>
            <w:tcW w:w="1967"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居住街坊</w:t>
            </w:r>
          </w:p>
        </w:tc>
      </w:tr>
      <w:tr w:rsidR="00DA44CC">
        <w:tc>
          <w:tcPr>
            <w:tcW w:w="1342" w:type="dxa"/>
            <w:gridSpan w:val="2"/>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服务半径</w:t>
            </w:r>
          </w:p>
        </w:tc>
        <w:tc>
          <w:tcPr>
            <w:tcW w:w="1969"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1000米</w:t>
            </w:r>
          </w:p>
        </w:tc>
        <w:tc>
          <w:tcPr>
            <w:tcW w:w="1969"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500米</w:t>
            </w:r>
          </w:p>
        </w:tc>
        <w:tc>
          <w:tcPr>
            <w:tcW w:w="1969"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300米</w:t>
            </w:r>
          </w:p>
        </w:tc>
        <w:tc>
          <w:tcPr>
            <w:tcW w:w="1967"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w:t>
            </w:r>
          </w:p>
        </w:tc>
      </w:tr>
      <w:tr w:rsidR="00DA44CC">
        <w:tc>
          <w:tcPr>
            <w:tcW w:w="1342" w:type="dxa"/>
            <w:gridSpan w:val="2"/>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服务人口</w:t>
            </w:r>
          </w:p>
        </w:tc>
        <w:tc>
          <w:tcPr>
            <w:tcW w:w="1969"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3-6万人</w:t>
            </w:r>
          </w:p>
        </w:tc>
        <w:tc>
          <w:tcPr>
            <w:tcW w:w="1969"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1.5-2.5万人</w:t>
            </w:r>
          </w:p>
        </w:tc>
        <w:tc>
          <w:tcPr>
            <w:tcW w:w="1969"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0.5-1.2万人</w:t>
            </w:r>
          </w:p>
        </w:tc>
        <w:tc>
          <w:tcPr>
            <w:tcW w:w="1967"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0.1-0.3万人</w:t>
            </w:r>
          </w:p>
        </w:tc>
      </w:tr>
      <w:tr w:rsidR="00DA44CC">
        <w:tc>
          <w:tcPr>
            <w:tcW w:w="492" w:type="dxa"/>
            <w:vMerge w:val="restart"/>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用地类型</w:t>
            </w:r>
          </w:p>
        </w:tc>
        <w:tc>
          <w:tcPr>
            <w:tcW w:w="850" w:type="dxa"/>
            <w:shd w:val="clear" w:color="auto" w:fill="auto"/>
            <w:vAlign w:val="center"/>
          </w:tcPr>
          <w:p w:rsidR="00DA44CC" w:rsidRDefault="00C53A1B">
            <w:pPr>
              <w:pStyle w:val="af2"/>
              <w:adjustRightInd w:val="0"/>
              <w:snapToGrid w:val="0"/>
              <w:spacing w:line="240" w:lineRule="atLeast"/>
              <w:jc w:val="center"/>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公共管理与公共服务设施（AR）</w:t>
            </w:r>
          </w:p>
        </w:tc>
        <w:tc>
          <w:tcPr>
            <w:tcW w:w="1969" w:type="dxa"/>
            <w:shd w:val="clear" w:color="auto" w:fill="auto"/>
            <w:vAlign w:val="center"/>
          </w:tcPr>
          <w:p w:rsidR="00DA44CC" w:rsidRDefault="00C53A1B">
            <w:pPr>
              <w:pStyle w:val="af2"/>
              <w:adjustRightInd w:val="0"/>
              <w:snapToGrid w:val="0"/>
              <w:spacing w:line="240" w:lineRule="atLeast"/>
              <w:jc w:val="left"/>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街道办事处、街道服务中心、派出所；</w:t>
            </w:r>
          </w:p>
          <w:p w:rsidR="00DA44CC" w:rsidRDefault="00C53A1B">
            <w:pPr>
              <w:pStyle w:val="af2"/>
              <w:adjustRightInd w:val="0"/>
              <w:snapToGrid w:val="0"/>
              <w:spacing w:line="240" w:lineRule="atLeast"/>
              <w:jc w:val="left"/>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文化活动中心；</w:t>
            </w:r>
          </w:p>
          <w:p w:rsidR="00DA44CC" w:rsidRDefault="00C53A1B">
            <w:pPr>
              <w:pStyle w:val="af2"/>
              <w:adjustRightInd w:val="0"/>
              <w:snapToGrid w:val="0"/>
              <w:spacing w:line="240" w:lineRule="atLeast"/>
              <w:jc w:val="left"/>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初中、高中、九年一贯制学校；</w:t>
            </w:r>
          </w:p>
          <w:p w:rsidR="00DA44CC" w:rsidRDefault="00C53A1B">
            <w:pPr>
              <w:pStyle w:val="af2"/>
              <w:adjustRightInd w:val="0"/>
              <w:snapToGrid w:val="0"/>
              <w:spacing w:line="240" w:lineRule="atLeast"/>
              <w:jc w:val="left"/>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体育馆（场）、大型多功能运动场地；</w:t>
            </w:r>
          </w:p>
          <w:p w:rsidR="00DA44CC" w:rsidRDefault="00C53A1B">
            <w:pPr>
              <w:pStyle w:val="af2"/>
              <w:adjustRightInd w:val="0"/>
              <w:snapToGrid w:val="0"/>
              <w:spacing w:line="240" w:lineRule="atLeast"/>
              <w:jc w:val="left"/>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卫生服务中心；</w:t>
            </w:r>
          </w:p>
          <w:p w:rsidR="00DA44CC" w:rsidRDefault="00C53A1B">
            <w:pPr>
              <w:pStyle w:val="af2"/>
              <w:adjustRightInd w:val="0"/>
              <w:snapToGrid w:val="0"/>
              <w:spacing w:line="240" w:lineRule="atLeast"/>
              <w:jc w:val="left"/>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养老院、老年养护院、</w:t>
            </w:r>
          </w:p>
        </w:tc>
        <w:tc>
          <w:tcPr>
            <w:tcW w:w="1969" w:type="dxa"/>
            <w:shd w:val="clear" w:color="auto" w:fill="auto"/>
            <w:vAlign w:val="center"/>
          </w:tcPr>
          <w:p w:rsidR="00DA44CC" w:rsidRDefault="00C53A1B">
            <w:pPr>
              <w:pStyle w:val="af2"/>
              <w:adjustRightInd w:val="0"/>
              <w:snapToGrid w:val="0"/>
              <w:spacing w:line="240" w:lineRule="atLeast"/>
              <w:jc w:val="left"/>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小学；</w:t>
            </w:r>
          </w:p>
          <w:p w:rsidR="00DA44CC" w:rsidRDefault="00C53A1B">
            <w:pPr>
              <w:pStyle w:val="af2"/>
              <w:adjustRightInd w:val="0"/>
              <w:snapToGrid w:val="0"/>
              <w:spacing w:line="240" w:lineRule="atLeast"/>
              <w:jc w:val="left"/>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中型多功能运动场地</w:t>
            </w:r>
          </w:p>
        </w:tc>
        <w:tc>
          <w:tcPr>
            <w:tcW w:w="1969" w:type="dxa"/>
            <w:shd w:val="clear" w:color="auto" w:fill="auto"/>
            <w:vAlign w:val="center"/>
          </w:tcPr>
          <w:p w:rsidR="00DA44CC" w:rsidRDefault="00C53A1B">
            <w:pPr>
              <w:pStyle w:val="af2"/>
              <w:adjustRightInd w:val="0"/>
              <w:snapToGrid w:val="0"/>
              <w:spacing w:line="240" w:lineRule="atLeast"/>
              <w:jc w:val="center"/>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w:t>
            </w:r>
          </w:p>
        </w:tc>
        <w:tc>
          <w:tcPr>
            <w:tcW w:w="1967" w:type="dxa"/>
            <w:shd w:val="clear" w:color="auto" w:fill="auto"/>
            <w:vAlign w:val="center"/>
          </w:tcPr>
          <w:p w:rsidR="00DA44CC" w:rsidRDefault="00C53A1B">
            <w:pPr>
              <w:pStyle w:val="af2"/>
              <w:adjustRightInd w:val="0"/>
              <w:snapToGrid w:val="0"/>
              <w:spacing w:line="240" w:lineRule="atLeast"/>
              <w:jc w:val="center"/>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w:t>
            </w:r>
          </w:p>
        </w:tc>
      </w:tr>
      <w:tr w:rsidR="00DA44CC">
        <w:tc>
          <w:tcPr>
            <w:tcW w:w="492" w:type="dxa"/>
            <w:vMerge/>
            <w:shd w:val="clear" w:color="auto" w:fill="auto"/>
            <w:vAlign w:val="center"/>
          </w:tcPr>
          <w:p w:rsidR="00DA44CC" w:rsidRDefault="00DA44CC">
            <w:pPr>
              <w:adjustRightInd w:val="0"/>
              <w:snapToGrid w:val="0"/>
              <w:spacing w:line="240" w:lineRule="atLeast"/>
              <w:rPr>
                <w:rFonts w:ascii="黑体" w:eastAsia="黑体" w:hAnsi="黑体"/>
                <w:sz w:val="18"/>
                <w:szCs w:val="18"/>
              </w:rPr>
            </w:pPr>
          </w:p>
        </w:tc>
        <w:tc>
          <w:tcPr>
            <w:tcW w:w="850" w:type="dxa"/>
            <w:shd w:val="clear" w:color="auto" w:fill="auto"/>
            <w:vAlign w:val="center"/>
          </w:tcPr>
          <w:p w:rsidR="00DA44CC" w:rsidRDefault="00C53A1B">
            <w:pPr>
              <w:pStyle w:val="af2"/>
              <w:adjustRightInd w:val="0"/>
              <w:snapToGrid w:val="0"/>
              <w:spacing w:line="240" w:lineRule="atLeast"/>
              <w:jc w:val="center"/>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商业金融（B）</w:t>
            </w:r>
          </w:p>
        </w:tc>
        <w:tc>
          <w:tcPr>
            <w:tcW w:w="1969" w:type="dxa"/>
            <w:shd w:val="clear" w:color="auto" w:fill="auto"/>
            <w:vAlign w:val="center"/>
          </w:tcPr>
          <w:p w:rsidR="00DA44CC" w:rsidRDefault="00C53A1B">
            <w:pPr>
              <w:pStyle w:val="af2"/>
              <w:adjustRightInd w:val="0"/>
              <w:snapToGrid w:val="0"/>
              <w:spacing w:line="240" w:lineRule="atLeast"/>
              <w:jc w:val="left"/>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商场、银行、储蓄所、邮政支局等</w:t>
            </w:r>
          </w:p>
        </w:tc>
        <w:tc>
          <w:tcPr>
            <w:tcW w:w="1969" w:type="dxa"/>
            <w:shd w:val="clear" w:color="auto" w:fill="auto"/>
            <w:vAlign w:val="center"/>
          </w:tcPr>
          <w:p w:rsidR="00DA44CC" w:rsidRDefault="00C53A1B">
            <w:pPr>
              <w:pStyle w:val="af2"/>
              <w:adjustRightInd w:val="0"/>
              <w:snapToGrid w:val="0"/>
              <w:spacing w:line="240" w:lineRule="atLeast"/>
              <w:jc w:val="left"/>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 xml:space="preserve">商业、菜市场等                                                                                                                                                                                                                                                                                                                                                                                                                                                                                                                                                </w:t>
            </w:r>
          </w:p>
        </w:tc>
        <w:tc>
          <w:tcPr>
            <w:tcW w:w="1969" w:type="dxa"/>
            <w:shd w:val="clear" w:color="auto" w:fill="auto"/>
            <w:vAlign w:val="center"/>
          </w:tcPr>
          <w:p w:rsidR="00DA44CC" w:rsidRDefault="00C53A1B">
            <w:pPr>
              <w:pStyle w:val="af2"/>
              <w:adjustRightInd w:val="0"/>
              <w:snapToGrid w:val="0"/>
              <w:spacing w:line="240" w:lineRule="atLeast"/>
              <w:jc w:val="center"/>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w:t>
            </w:r>
          </w:p>
        </w:tc>
        <w:tc>
          <w:tcPr>
            <w:tcW w:w="1967" w:type="dxa"/>
            <w:shd w:val="clear" w:color="auto" w:fill="auto"/>
            <w:vAlign w:val="center"/>
          </w:tcPr>
          <w:p w:rsidR="00DA44CC" w:rsidRDefault="00C53A1B">
            <w:pPr>
              <w:pStyle w:val="af2"/>
              <w:adjustRightInd w:val="0"/>
              <w:snapToGrid w:val="0"/>
              <w:spacing w:line="240" w:lineRule="atLeast"/>
              <w:jc w:val="center"/>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w:t>
            </w:r>
          </w:p>
        </w:tc>
      </w:tr>
      <w:tr w:rsidR="00DA44CC">
        <w:tc>
          <w:tcPr>
            <w:tcW w:w="492" w:type="dxa"/>
            <w:vMerge/>
            <w:shd w:val="clear" w:color="auto" w:fill="auto"/>
            <w:vAlign w:val="center"/>
          </w:tcPr>
          <w:p w:rsidR="00DA44CC" w:rsidRDefault="00DA44CC">
            <w:pPr>
              <w:adjustRightInd w:val="0"/>
              <w:snapToGrid w:val="0"/>
              <w:spacing w:line="240" w:lineRule="atLeast"/>
              <w:rPr>
                <w:rFonts w:ascii="黑体" w:eastAsia="黑体" w:hAnsi="黑体"/>
                <w:sz w:val="18"/>
                <w:szCs w:val="18"/>
              </w:rPr>
            </w:pPr>
          </w:p>
        </w:tc>
        <w:tc>
          <w:tcPr>
            <w:tcW w:w="850" w:type="dxa"/>
            <w:shd w:val="clear" w:color="auto" w:fill="auto"/>
            <w:vAlign w:val="center"/>
          </w:tcPr>
          <w:p w:rsidR="00DA44CC" w:rsidRDefault="00C53A1B">
            <w:pPr>
              <w:pStyle w:val="af2"/>
              <w:adjustRightInd w:val="0"/>
              <w:snapToGrid w:val="0"/>
              <w:spacing w:line="240" w:lineRule="atLeast"/>
              <w:jc w:val="center"/>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社区服务设施（R）</w:t>
            </w:r>
          </w:p>
        </w:tc>
        <w:tc>
          <w:tcPr>
            <w:tcW w:w="1969" w:type="dxa"/>
            <w:shd w:val="clear" w:color="auto" w:fill="auto"/>
            <w:vAlign w:val="center"/>
          </w:tcPr>
          <w:p w:rsidR="00DA44CC" w:rsidRDefault="00C53A1B">
            <w:pPr>
              <w:pStyle w:val="af2"/>
              <w:adjustRightInd w:val="0"/>
              <w:snapToGrid w:val="0"/>
              <w:spacing w:line="240" w:lineRule="atLeast"/>
              <w:jc w:val="center"/>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w:t>
            </w:r>
          </w:p>
        </w:tc>
        <w:tc>
          <w:tcPr>
            <w:tcW w:w="1969" w:type="dxa"/>
            <w:shd w:val="clear" w:color="auto" w:fill="auto"/>
            <w:vAlign w:val="center"/>
          </w:tcPr>
          <w:p w:rsidR="00DA44CC" w:rsidRDefault="00C53A1B">
            <w:pPr>
              <w:pStyle w:val="af2"/>
              <w:adjustRightInd w:val="0"/>
              <w:snapToGrid w:val="0"/>
              <w:spacing w:line="240" w:lineRule="atLeast"/>
              <w:jc w:val="center"/>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w:t>
            </w:r>
          </w:p>
        </w:tc>
        <w:tc>
          <w:tcPr>
            <w:tcW w:w="1969" w:type="dxa"/>
            <w:shd w:val="clear" w:color="auto" w:fill="auto"/>
            <w:vAlign w:val="center"/>
          </w:tcPr>
          <w:p w:rsidR="00DA44CC" w:rsidRDefault="00C53A1B">
            <w:pPr>
              <w:pStyle w:val="af2"/>
              <w:adjustRightInd w:val="0"/>
              <w:snapToGrid w:val="0"/>
              <w:spacing w:line="240" w:lineRule="atLeast"/>
              <w:jc w:val="left"/>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社区服务站、党群服务中心、文化活动站、幼儿园、小型多功能运动场地、室外综合健身场地、老年日间照料中心、卫生服务站、小型商业、公厕等</w:t>
            </w:r>
          </w:p>
        </w:tc>
        <w:tc>
          <w:tcPr>
            <w:tcW w:w="1967" w:type="dxa"/>
            <w:shd w:val="clear" w:color="auto" w:fill="auto"/>
            <w:vAlign w:val="center"/>
          </w:tcPr>
          <w:p w:rsidR="00DA44CC" w:rsidRDefault="00C53A1B">
            <w:pPr>
              <w:pStyle w:val="af2"/>
              <w:adjustRightInd w:val="0"/>
              <w:snapToGrid w:val="0"/>
              <w:spacing w:line="240" w:lineRule="atLeast"/>
              <w:jc w:val="center"/>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w:t>
            </w:r>
          </w:p>
        </w:tc>
      </w:tr>
      <w:tr w:rsidR="00DA44CC">
        <w:tc>
          <w:tcPr>
            <w:tcW w:w="492" w:type="dxa"/>
            <w:vMerge/>
            <w:shd w:val="clear" w:color="auto" w:fill="auto"/>
            <w:vAlign w:val="center"/>
          </w:tcPr>
          <w:p w:rsidR="00DA44CC" w:rsidRDefault="00DA44CC">
            <w:pPr>
              <w:adjustRightInd w:val="0"/>
              <w:snapToGrid w:val="0"/>
              <w:spacing w:line="240" w:lineRule="atLeast"/>
              <w:rPr>
                <w:rFonts w:ascii="黑体" w:eastAsia="黑体" w:hAnsi="黑体"/>
                <w:sz w:val="18"/>
                <w:szCs w:val="18"/>
              </w:rPr>
            </w:pPr>
          </w:p>
        </w:tc>
        <w:tc>
          <w:tcPr>
            <w:tcW w:w="850" w:type="dxa"/>
            <w:shd w:val="clear" w:color="auto" w:fill="auto"/>
            <w:vAlign w:val="center"/>
          </w:tcPr>
          <w:p w:rsidR="00DA44CC" w:rsidRDefault="00C53A1B">
            <w:pPr>
              <w:pStyle w:val="af2"/>
              <w:adjustRightInd w:val="0"/>
              <w:snapToGrid w:val="0"/>
              <w:spacing w:line="240" w:lineRule="atLeast"/>
              <w:jc w:val="center"/>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便民服务设施（R）</w:t>
            </w:r>
          </w:p>
        </w:tc>
        <w:tc>
          <w:tcPr>
            <w:tcW w:w="1969" w:type="dxa"/>
            <w:shd w:val="clear" w:color="auto" w:fill="auto"/>
            <w:vAlign w:val="center"/>
          </w:tcPr>
          <w:p w:rsidR="00DA44CC" w:rsidRDefault="00C53A1B">
            <w:pPr>
              <w:pStyle w:val="af2"/>
              <w:adjustRightInd w:val="0"/>
              <w:snapToGrid w:val="0"/>
              <w:spacing w:line="240" w:lineRule="atLeast"/>
              <w:jc w:val="center"/>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w:t>
            </w:r>
          </w:p>
        </w:tc>
        <w:tc>
          <w:tcPr>
            <w:tcW w:w="1969" w:type="dxa"/>
            <w:shd w:val="clear" w:color="auto" w:fill="auto"/>
            <w:vAlign w:val="center"/>
          </w:tcPr>
          <w:p w:rsidR="00DA44CC" w:rsidRDefault="00C53A1B">
            <w:pPr>
              <w:pStyle w:val="af2"/>
              <w:adjustRightInd w:val="0"/>
              <w:snapToGrid w:val="0"/>
              <w:spacing w:line="240" w:lineRule="atLeast"/>
              <w:jc w:val="center"/>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w:t>
            </w:r>
          </w:p>
        </w:tc>
        <w:tc>
          <w:tcPr>
            <w:tcW w:w="1969" w:type="dxa"/>
            <w:shd w:val="clear" w:color="auto" w:fill="auto"/>
            <w:vAlign w:val="center"/>
          </w:tcPr>
          <w:p w:rsidR="00DA44CC" w:rsidRDefault="00C53A1B">
            <w:pPr>
              <w:pStyle w:val="af2"/>
              <w:adjustRightInd w:val="0"/>
              <w:snapToGrid w:val="0"/>
              <w:spacing w:line="240" w:lineRule="atLeast"/>
              <w:jc w:val="center"/>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w:t>
            </w:r>
          </w:p>
        </w:tc>
        <w:tc>
          <w:tcPr>
            <w:tcW w:w="1967" w:type="dxa"/>
            <w:shd w:val="clear" w:color="auto" w:fill="auto"/>
            <w:vAlign w:val="center"/>
          </w:tcPr>
          <w:p w:rsidR="00DA44CC" w:rsidRDefault="00C53A1B">
            <w:pPr>
              <w:pStyle w:val="af2"/>
              <w:adjustRightInd w:val="0"/>
              <w:snapToGrid w:val="0"/>
              <w:spacing w:line="240" w:lineRule="atLeast"/>
              <w:jc w:val="left"/>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物业管理与服务、儿童老年人活动场地、室外健身器场地、便利店、邮件和快递送达设施、生活垃圾收集点</w:t>
            </w:r>
          </w:p>
        </w:tc>
      </w:tr>
    </w:tbl>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第二十九条  十五分钟生活圈居住区配套设施</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十五分钟生活圈居住区内公共服务设施应配置文化活动中心、体育馆（场）、大型多功能运动场地、卫生服务中心、养老院、老年养护院、街道服务中心、街道办事处、派出所、司法所、</w:t>
      </w:r>
      <w:r>
        <w:rPr>
          <w:rFonts w:ascii="方正仿宋简体" w:eastAsia="方正仿宋简体" w:hAnsi="宋体" w:cs="仿宋_GB2312" w:hint="eastAsia"/>
          <w:color w:val="000000"/>
          <w:sz w:val="32"/>
          <w:szCs w:val="32"/>
        </w:rPr>
        <w:lastRenderedPageBreak/>
        <w:t>商业等。具体配置要求如表4-7所示。</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十五分钟生活圈居住区配套设施中，文化活动中心、街道服务中心、街道办事处等服务设施宜联合建设并形成街道综合服务中心，其用地面积不宜小于1公顷。</w:t>
      </w:r>
    </w:p>
    <w:p w:rsidR="00DA44CC" w:rsidRDefault="00C53A1B">
      <w:pPr>
        <w:spacing w:line="360" w:lineRule="auto"/>
        <w:jc w:val="center"/>
        <w:rPr>
          <w:rFonts w:ascii="黑体" w:eastAsia="黑体" w:hAnsi="黑体"/>
        </w:rPr>
      </w:pPr>
      <w:r>
        <w:rPr>
          <w:rFonts w:ascii="黑体" w:eastAsia="黑体" w:hAnsi="黑体" w:hint="eastAsia"/>
        </w:rPr>
        <w:t>表4-7十五分钟生活圈居住区配套设施设置规定</w:t>
      </w:r>
    </w:p>
    <w:tbl>
      <w:tblPr>
        <w:tblW w:w="90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4"/>
        <w:gridCol w:w="1014"/>
        <w:gridCol w:w="1232"/>
        <w:gridCol w:w="1232"/>
        <w:gridCol w:w="5038"/>
      </w:tblGrid>
      <w:tr w:rsidR="00DA44CC">
        <w:trPr>
          <w:cantSplit/>
          <w:trHeight w:val="383"/>
        </w:trPr>
        <w:tc>
          <w:tcPr>
            <w:tcW w:w="544"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代码</w:t>
            </w:r>
          </w:p>
        </w:tc>
        <w:tc>
          <w:tcPr>
            <w:tcW w:w="1014"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项目名称</w:t>
            </w:r>
          </w:p>
        </w:tc>
        <w:tc>
          <w:tcPr>
            <w:tcW w:w="2464" w:type="dxa"/>
            <w:gridSpan w:val="2"/>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一般规模（㎡/处）</w:t>
            </w:r>
          </w:p>
        </w:tc>
        <w:tc>
          <w:tcPr>
            <w:tcW w:w="5038"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配置说明</w:t>
            </w:r>
          </w:p>
        </w:tc>
      </w:tr>
      <w:tr w:rsidR="00DA44CC">
        <w:trPr>
          <w:cantSplit/>
          <w:trHeight w:val="392"/>
        </w:trPr>
        <w:tc>
          <w:tcPr>
            <w:tcW w:w="544" w:type="dxa"/>
            <w:vMerge/>
            <w:vAlign w:val="center"/>
          </w:tcPr>
          <w:p w:rsidR="00DA44CC" w:rsidRDefault="00DA44CC">
            <w:pPr>
              <w:adjustRightInd w:val="0"/>
              <w:snapToGrid w:val="0"/>
              <w:spacing w:line="240" w:lineRule="atLeast"/>
              <w:rPr>
                <w:rFonts w:ascii="黑体" w:eastAsia="黑体" w:hAnsi="黑体"/>
                <w:sz w:val="18"/>
                <w:szCs w:val="18"/>
              </w:rPr>
            </w:pPr>
          </w:p>
        </w:tc>
        <w:tc>
          <w:tcPr>
            <w:tcW w:w="1014" w:type="dxa"/>
            <w:vMerge/>
            <w:vAlign w:val="center"/>
          </w:tcPr>
          <w:p w:rsidR="00DA44CC" w:rsidRDefault="00DA44CC">
            <w:pPr>
              <w:adjustRightInd w:val="0"/>
              <w:snapToGrid w:val="0"/>
              <w:spacing w:line="240" w:lineRule="atLeast"/>
              <w:rPr>
                <w:rFonts w:ascii="黑体" w:eastAsia="黑体" w:hAnsi="黑体"/>
                <w:sz w:val="18"/>
                <w:szCs w:val="18"/>
              </w:rPr>
            </w:pPr>
          </w:p>
        </w:tc>
        <w:tc>
          <w:tcPr>
            <w:tcW w:w="123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建筑面积</w:t>
            </w:r>
          </w:p>
        </w:tc>
        <w:tc>
          <w:tcPr>
            <w:tcW w:w="123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用地面积</w:t>
            </w:r>
          </w:p>
        </w:tc>
        <w:tc>
          <w:tcPr>
            <w:tcW w:w="5038" w:type="dxa"/>
            <w:vMerge/>
            <w:vAlign w:val="center"/>
          </w:tcPr>
          <w:p w:rsidR="00DA44CC" w:rsidRDefault="00DA44CC">
            <w:pPr>
              <w:adjustRightInd w:val="0"/>
              <w:snapToGrid w:val="0"/>
              <w:spacing w:line="240" w:lineRule="atLeast"/>
              <w:rPr>
                <w:rFonts w:ascii="黑体" w:eastAsia="黑体" w:hAnsi="黑体"/>
                <w:sz w:val="18"/>
                <w:szCs w:val="18"/>
              </w:rPr>
            </w:pPr>
          </w:p>
        </w:tc>
      </w:tr>
      <w:tr w:rsidR="00DA44CC">
        <w:trPr>
          <w:cantSplit/>
          <w:trHeight w:val="1294"/>
          <w:tblHeader/>
        </w:trPr>
        <w:tc>
          <w:tcPr>
            <w:tcW w:w="544"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AR1</w:t>
            </w:r>
          </w:p>
        </w:tc>
        <w:tc>
          <w:tcPr>
            <w:tcW w:w="101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街道服务中心</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700-1500</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600-1200</w:t>
            </w:r>
          </w:p>
        </w:tc>
        <w:tc>
          <w:tcPr>
            <w:tcW w:w="5038" w:type="dxa"/>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1、配置要求：可与街道办事处、派出所、居住区其他公益类设施合并建设。</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2、配置内容：包含居家养老服务、青少年服务、儿童服务、心理辅导和家庭问题调解及咨询等便民利民和社会救助的服务项目。</w:t>
            </w:r>
          </w:p>
        </w:tc>
      </w:tr>
      <w:tr w:rsidR="00DA44CC">
        <w:trPr>
          <w:cantSplit/>
          <w:trHeight w:val="781"/>
          <w:tblHeader/>
        </w:trPr>
        <w:tc>
          <w:tcPr>
            <w:tcW w:w="544" w:type="dxa"/>
            <w:vMerge/>
            <w:vAlign w:val="center"/>
          </w:tcPr>
          <w:p w:rsidR="00DA44CC" w:rsidRDefault="00DA44CC">
            <w:pPr>
              <w:adjustRightInd w:val="0"/>
              <w:snapToGrid w:val="0"/>
              <w:spacing w:line="240" w:lineRule="atLeast"/>
              <w:rPr>
                <w:rFonts w:ascii="黑体" w:eastAsia="黑体" w:hAnsi="黑体"/>
                <w:sz w:val="18"/>
                <w:szCs w:val="18"/>
              </w:rPr>
            </w:pPr>
          </w:p>
        </w:tc>
        <w:tc>
          <w:tcPr>
            <w:tcW w:w="101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街道办事处</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1000-2000</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800-2500</w:t>
            </w:r>
          </w:p>
        </w:tc>
        <w:tc>
          <w:tcPr>
            <w:tcW w:w="5038" w:type="dxa"/>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1、配置要求：建议结合所辖区域设置；</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2、配置内容：以管理、宣传、服务、就业等工作内容为主，包括街道办事处及市政、环卫、绿化等管理用房。</w:t>
            </w:r>
          </w:p>
        </w:tc>
      </w:tr>
      <w:tr w:rsidR="00DA44CC">
        <w:trPr>
          <w:cantSplit/>
          <w:trHeight w:val="781"/>
          <w:tblHeader/>
        </w:trPr>
        <w:tc>
          <w:tcPr>
            <w:tcW w:w="544" w:type="dxa"/>
            <w:vMerge/>
            <w:vAlign w:val="center"/>
          </w:tcPr>
          <w:p w:rsidR="00DA44CC" w:rsidRDefault="00DA44CC">
            <w:pPr>
              <w:adjustRightInd w:val="0"/>
              <w:snapToGrid w:val="0"/>
              <w:spacing w:line="240" w:lineRule="atLeast"/>
              <w:rPr>
                <w:rFonts w:ascii="黑体" w:eastAsia="黑体" w:hAnsi="黑体"/>
                <w:sz w:val="18"/>
                <w:szCs w:val="18"/>
              </w:rPr>
            </w:pPr>
          </w:p>
        </w:tc>
        <w:tc>
          <w:tcPr>
            <w:tcW w:w="101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司法所</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80-240</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5038" w:type="dxa"/>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1、配置原则：建议结合所辖区域设置；</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2、配置内容：法律事务援助、服务保释、监外执行人员的社区矫正等。</w:t>
            </w:r>
          </w:p>
        </w:tc>
      </w:tr>
      <w:tr w:rsidR="00DA44CC">
        <w:trPr>
          <w:cantSplit/>
          <w:trHeight w:val="1037"/>
          <w:tblHeader/>
        </w:trPr>
        <w:tc>
          <w:tcPr>
            <w:tcW w:w="544" w:type="dxa"/>
            <w:vMerge/>
            <w:vAlign w:val="center"/>
          </w:tcPr>
          <w:p w:rsidR="00DA44CC" w:rsidRDefault="00DA44CC">
            <w:pPr>
              <w:adjustRightInd w:val="0"/>
              <w:snapToGrid w:val="0"/>
              <w:spacing w:line="240" w:lineRule="atLeast"/>
              <w:rPr>
                <w:rFonts w:ascii="黑体" w:eastAsia="黑体" w:hAnsi="黑体"/>
                <w:sz w:val="18"/>
                <w:szCs w:val="18"/>
              </w:rPr>
            </w:pPr>
          </w:p>
        </w:tc>
        <w:tc>
          <w:tcPr>
            <w:tcW w:w="101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派出所</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1000-1600</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1000-2000</w:t>
            </w:r>
          </w:p>
        </w:tc>
        <w:tc>
          <w:tcPr>
            <w:tcW w:w="5038" w:type="dxa"/>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1、配置要求：建议结合辖区管理设置，宜与街道办事处合并设置，需留独立出入口方便警车出入。</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2、配置内容：公安部门的基层机构，管理户口和基层治安等工作。</w:t>
            </w:r>
          </w:p>
        </w:tc>
      </w:tr>
      <w:tr w:rsidR="00DA44CC">
        <w:trPr>
          <w:cantSplit/>
          <w:trHeight w:val="2321"/>
          <w:tblHeader/>
        </w:trPr>
        <w:tc>
          <w:tcPr>
            <w:tcW w:w="54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AR2</w:t>
            </w:r>
          </w:p>
        </w:tc>
        <w:tc>
          <w:tcPr>
            <w:tcW w:w="101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文化活动中心</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3000-6000</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8000-12000</w:t>
            </w:r>
          </w:p>
        </w:tc>
        <w:tc>
          <w:tcPr>
            <w:tcW w:w="5038" w:type="dxa"/>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1、配置要求：宜结合公园绿地、体育活动中心进行布局。本居住区内有区级文化设施（图书馆、文化馆、文化活动中心等），可以免配。</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2、配置内容：图书室、多功能厅（科普知识宣传、影视厅、会议室等）、教育培训、艺术培训、专类活动空间（学生学习室、老年阅览室等）、活动室（球类、棋牌类活动）等。</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3、千人指标引导：用地面积按200㎡/千人。</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4、最小规模：对于用地紧张难以配置的区域，可降低配置规模，最低不小于3000㎡。</w:t>
            </w:r>
          </w:p>
        </w:tc>
      </w:tr>
      <w:tr w:rsidR="00DA44CC">
        <w:trPr>
          <w:cantSplit/>
          <w:trHeight w:val="2578"/>
          <w:tblHeader/>
        </w:trPr>
        <w:tc>
          <w:tcPr>
            <w:tcW w:w="54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AR4</w:t>
            </w:r>
          </w:p>
        </w:tc>
        <w:tc>
          <w:tcPr>
            <w:tcW w:w="101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体育馆（场）</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3500-5000</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10000-15000</w:t>
            </w:r>
          </w:p>
        </w:tc>
        <w:tc>
          <w:tcPr>
            <w:tcW w:w="5038" w:type="dxa"/>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1、配置要求：宜结合公园绿地、体育活动中心进行布局。本居住区内有区级体育设施（健身场馆、游泳馆、运动场地等），可以免配。</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2、配置内容：篮球、排球、7人制足球、5人制足球、门球、乒乓球、羽毛球、网球、游泳池、滑冰场/轮滑场、室外综合健身用地（武术、体育、舞蹈、体操）、儿童游戏场、室外建设器材、步行道、60-100米跑道、100-200米跑道。</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3、千人指标引导：用地面积250㎡/千人。</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4、最小规模：对于用地紧张难以配置的区域，可降低配置规模，最低不小于1200㎡。</w:t>
            </w:r>
          </w:p>
        </w:tc>
      </w:tr>
      <w:tr w:rsidR="00DA44CC">
        <w:trPr>
          <w:cantSplit/>
          <w:trHeight w:val="1037"/>
          <w:tblHeader/>
        </w:trPr>
        <w:tc>
          <w:tcPr>
            <w:tcW w:w="54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lastRenderedPageBreak/>
              <w:t>AR4/</w:t>
            </w:r>
          </w:p>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G1</w:t>
            </w:r>
          </w:p>
        </w:tc>
        <w:tc>
          <w:tcPr>
            <w:tcW w:w="101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大型多功能运动场地</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3150-5620</w:t>
            </w:r>
          </w:p>
        </w:tc>
        <w:tc>
          <w:tcPr>
            <w:tcW w:w="5038" w:type="dxa"/>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1、配置要求：宜结合公园绿地、体育场馆进行布局。结合15分钟生活圈中心绿地配置的，绿地10-15%可以用作球类场地。</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2、配置内容：宜设置篮球（560-730㎡）、排球（290-390㎡）、7人足球场地（2300-2500㎡）各一处。</w:t>
            </w:r>
          </w:p>
        </w:tc>
      </w:tr>
      <w:tr w:rsidR="00DA44CC">
        <w:trPr>
          <w:cantSplit/>
          <w:trHeight w:val="2086"/>
          <w:tblHeader/>
        </w:trPr>
        <w:tc>
          <w:tcPr>
            <w:tcW w:w="54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AR5</w:t>
            </w:r>
          </w:p>
        </w:tc>
        <w:tc>
          <w:tcPr>
            <w:tcW w:w="101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卫生服务中心</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1500-2000</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1500-2000</w:t>
            </w:r>
          </w:p>
        </w:tc>
        <w:tc>
          <w:tcPr>
            <w:tcW w:w="5038" w:type="dxa"/>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1、配置要求：卫生服务中心宜为相对独立的多层建筑，层数为二层时宜设电梯，三层以上应设电梯。如本居住区内有医院，则不强制再设置独立用地，可结合商业进行配建，每处建筑规模不小于1500㎡。</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2、配置内容：全科诊室、中医诊室、康复治疗室、抢救室；预防接种室、儿童保健室、妇女与计划生育指导室、健康教育室；检验室、B 超和心电图室、西药房、中药房、治疗室、处置室、健康信息管理室、消毒间。</w:t>
            </w:r>
          </w:p>
        </w:tc>
      </w:tr>
      <w:tr w:rsidR="00DA44CC">
        <w:trPr>
          <w:cantSplit/>
          <w:trHeight w:val="1819"/>
          <w:tblHeader/>
        </w:trPr>
        <w:tc>
          <w:tcPr>
            <w:tcW w:w="544"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AR6</w:t>
            </w:r>
          </w:p>
        </w:tc>
        <w:tc>
          <w:tcPr>
            <w:tcW w:w="101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养老院</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6000-12000</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7500-15000</w:t>
            </w:r>
          </w:p>
        </w:tc>
        <w:tc>
          <w:tcPr>
            <w:tcW w:w="5038" w:type="dxa"/>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1、配置要求：养老院可结合老年养护院、卫生服务中心进行布局。</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2、配置内容：一般床位为150-300床, 每床建筑面积不小于40㎡，用地面积一般为50-70㎡。</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3、千人指标引导： 4床/千人。</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4、最小规模：对于用地紧张难以配置的区域，可降低配置规模，最低不小于3500㎡。</w:t>
            </w:r>
          </w:p>
        </w:tc>
      </w:tr>
      <w:tr w:rsidR="00DA44CC">
        <w:trPr>
          <w:cantSplit/>
          <w:trHeight w:val="1808"/>
          <w:tblHeader/>
        </w:trPr>
        <w:tc>
          <w:tcPr>
            <w:tcW w:w="544" w:type="dxa"/>
            <w:vMerge/>
            <w:vAlign w:val="center"/>
          </w:tcPr>
          <w:p w:rsidR="00DA44CC" w:rsidRDefault="00DA44CC">
            <w:pPr>
              <w:adjustRightInd w:val="0"/>
              <w:snapToGrid w:val="0"/>
              <w:spacing w:line="240" w:lineRule="atLeast"/>
              <w:rPr>
                <w:rFonts w:ascii="黑体" w:eastAsia="黑体" w:hAnsi="黑体"/>
                <w:sz w:val="18"/>
                <w:szCs w:val="18"/>
              </w:rPr>
            </w:pPr>
          </w:p>
        </w:tc>
        <w:tc>
          <w:tcPr>
            <w:tcW w:w="101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老年养护院</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4000-10000</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4500-11250</w:t>
            </w:r>
          </w:p>
        </w:tc>
        <w:tc>
          <w:tcPr>
            <w:tcW w:w="5038" w:type="dxa"/>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1、配置要求：养老院可结合老年养护院、卫生服务中心进行布局。</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2、配置内容： 一般床位为100-250床，每床建筑面积不小于40㎡，用地面积一般为45-60㎡。</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3、千人指标引导：3床/千人。</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4、最小规模：对于用地紧张难以配置的区域，可降低配置规模，最低不小于1750㎡。</w:t>
            </w:r>
          </w:p>
        </w:tc>
      </w:tr>
      <w:tr w:rsidR="00DA44CC">
        <w:trPr>
          <w:cantSplit/>
          <w:trHeight w:val="1294"/>
          <w:tblHeader/>
        </w:trPr>
        <w:tc>
          <w:tcPr>
            <w:tcW w:w="54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B</w:t>
            </w:r>
          </w:p>
        </w:tc>
        <w:tc>
          <w:tcPr>
            <w:tcW w:w="101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商业</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10000-27000</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10000-30000</w:t>
            </w:r>
          </w:p>
        </w:tc>
        <w:tc>
          <w:tcPr>
            <w:tcW w:w="5038" w:type="dxa"/>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1、配置要求：宜相对集中布局，表格中的标准为生活圈总量。</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2、配置内容：含便民商业、商场、银行、储蓄所、邮政支局（建筑面积1500-2000㎡）等。</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3、千人指标引导：建筑面积千人指标320-450m2/千人，用地面积千人指标为350-550㎡/千人。</w:t>
            </w:r>
          </w:p>
        </w:tc>
      </w:tr>
      <w:tr w:rsidR="00DA44CC">
        <w:trPr>
          <w:cantSplit/>
          <w:trHeight w:val="556"/>
          <w:tblHeader/>
        </w:trPr>
        <w:tc>
          <w:tcPr>
            <w:tcW w:w="54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U</w:t>
            </w:r>
          </w:p>
        </w:tc>
        <w:tc>
          <w:tcPr>
            <w:tcW w:w="1014"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开闭所</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200-300</w:t>
            </w:r>
          </w:p>
        </w:tc>
        <w:tc>
          <w:tcPr>
            <w:tcW w:w="12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500以上</w:t>
            </w:r>
          </w:p>
        </w:tc>
        <w:tc>
          <w:tcPr>
            <w:tcW w:w="5038" w:type="dxa"/>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配置要求：一般1.2-2.0万套设置一处，服务半径为1000m，需独立设置。</w:t>
            </w:r>
          </w:p>
        </w:tc>
      </w:tr>
    </w:tbl>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第三十条  十分钟生活圈居住区配套设施</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十分钟生活圈居住区内公共服务设施应配置中型多功能运动场地、菜市场等内容。具体配置要求如表4-8所示。十分钟生活圈居住区设施如与十五分钟生活圈居住区设施位置重叠，则可以附属与十五分钟生活圈居住区配套设施一并设置，但内容与规模不能减少与降低。</w:t>
      </w:r>
    </w:p>
    <w:p w:rsidR="00DA44CC" w:rsidRDefault="00C53A1B">
      <w:pPr>
        <w:spacing w:line="360" w:lineRule="auto"/>
        <w:jc w:val="center"/>
        <w:rPr>
          <w:rFonts w:ascii="黑体" w:eastAsia="黑体" w:hAnsi="黑体"/>
        </w:rPr>
      </w:pPr>
      <w:r>
        <w:rPr>
          <w:rFonts w:ascii="黑体" w:eastAsia="黑体" w:hAnsi="黑体" w:hint="eastAsia"/>
        </w:rPr>
        <w:lastRenderedPageBreak/>
        <w:t>表4-8十分钟生活圈配套设施设置规定</w:t>
      </w:r>
    </w:p>
    <w:tbl>
      <w:tblPr>
        <w:tblW w:w="90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2"/>
        <w:gridCol w:w="888"/>
        <w:gridCol w:w="1158"/>
        <w:gridCol w:w="1092"/>
        <w:gridCol w:w="5330"/>
      </w:tblGrid>
      <w:tr w:rsidR="00DA44CC">
        <w:trPr>
          <w:cantSplit/>
          <w:trHeight w:val="311"/>
        </w:trPr>
        <w:tc>
          <w:tcPr>
            <w:tcW w:w="612"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代码</w:t>
            </w:r>
          </w:p>
        </w:tc>
        <w:tc>
          <w:tcPr>
            <w:tcW w:w="888"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项目名称</w:t>
            </w:r>
          </w:p>
        </w:tc>
        <w:tc>
          <w:tcPr>
            <w:tcW w:w="2250" w:type="dxa"/>
            <w:gridSpan w:val="2"/>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一般规模（㎡/处）</w:t>
            </w:r>
          </w:p>
        </w:tc>
        <w:tc>
          <w:tcPr>
            <w:tcW w:w="5330"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配置说明</w:t>
            </w:r>
          </w:p>
        </w:tc>
      </w:tr>
      <w:tr w:rsidR="00DA44CC">
        <w:trPr>
          <w:cantSplit/>
          <w:trHeight w:val="288"/>
        </w:trPr>
        <w:tc>
          <w:tcPr>
            <w:tcW w:w="612" w:type="dxa"/>
            <w:vMerge/>
            <w:vAlign w:val="center"/>
          </w:tcPr>
          <w:p w:rsidR="00DA44CC" w:rsidRDefault="00DA44CC">
            <w:pPr>
              <w:adjustRightInd w:val="0"/>
              <w:snapToGrid w:val="0"/>
              <w:spacing w:line="240" w:lineRule="atLeast"/>
              <w:rPr>
                <w:rFonts w:ascii="黑体" w:eastAsia="黑体" w:hAnsi="黑体"/>
                <w:sz w:val="18"/>
                <w:szCs w:val="18"/>
              </w:rPr>
            </w:pPr>
          </w:p>
        </w:tc>
        <w:tc>
          <w:tcPr>
            <w:tcW w:w="888" w:type="dxa"/>
            <w:vMerge/>
            <w:vAlign w:val="center"/>
          </w:tcPr>
          <w:p w:rsidR="00DA44CC" w:rsidRDefault="00DA44CC">
            <w:pPr>
              <w:adjustRightInd w:val="0"/>
              <w:snapToGrid w:val="0"/>
              <w:spacing w:line="240" w:lineRule="atLeast"/>
              <w:rPr>
                <w:rFonts w:ascii="黑体" w:eastAsia="黑体" w:hAnsi="黑体"/>
                <w:sz w:val="18"/>
                <w:szCs w:val="18"/>
              </w:rPr>
            </w:pPr>
          </w:p>
        </w:tc>
        <w:tc>
          <w:tcPr>
            <w:tcW w:w="1158"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建筑面积</w:t>
            </w:r>
          </w:p>
        </w:tc>
        <w:tc>
          <w:tcPr>
            <w:tcW w:w="109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用地面积</w:t>
            </w:r>
          </w:p>
        </w:tc>
        <w:tc>
          <w:tcPr>
            <w:tcW w:w="5330" w:type="dxa"/>
            <w:vMerge/>
            <w:vAlign w:val="center"/>
          </w:tcPr>
          <w:p w:rsidR="00DA44CC" w:rsidRDefault="00DA44CC">
            <w:pPr>
              <w:adjustRightInd w:val="0"/>
              <w:snapToGrid w:val="0"/>
              <w:spacing w:line="240" w:lineRule="atLeast"/>
              <w:rPr>
                <w:rFonts w:ascii="黑体" w:eastAsia="黑体" w:hAnsi="黑体"/>
                <w:sz w:val="18"/>
                <w:szCs w:val="18"/>
              </w:rPr>
            </w:pPr>
          </w:p>
        </w:tc>
      </w:tr>
      <w:tr w:rsidR="00DA44CC">
        <w:trPr>
          <w:cantSplit/>
          <w:trHeight w:val="1216"/>
          <w:tblHeader/>
        </w:trPr>
        <w:tc>
          <w:tcPr>
            <w:tcW w:w="61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AR4/G1</w:t>
            </w:r>
          </w:p>
        </w:tc>
        <w:tc>
          <w:tcPr>
            <w:tcW w:w="88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中型多功能运动场地</w:t>
            </w:r>
          </w:p>
        </w:tc>
        <w:tc>
          <w:tcPr>
            <w:tcW w:w="115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09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1310-2460</w:t>
            </w:r>
          </w:p>
        </w:tc>
        <w:tc>
          <w:tcPr>
            <w:tcW w:w="5330"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1、配置要求：宜结合公园绿地、体育场馆进行布局。结合10分钟生活圈中心绿地配置的，绿地10-15%可以用作球类场地。</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2、配置内容：宜设置排球（290-390㎡）、5人足球场地（460-1340㎡）各一处。</w:t>
            </w:r>
          </w:p>
        </w:tc>
      </w:tr>
      <w:tr w:rsidR="00DA44CC">
        <w:trPr>
          <w:cantSplit/>
          <w:trHeight w:val="1395"/>
          <w:tblHeader/>
        </w:trPr>
        <w:tc>
          <w:tcPr>
            <w:tcW w:w="61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B1</w:t>
            </w:r>
          </w:p>
        </w:tc>
        <w:tc>
          <w:tcPr>
            <w:tcW w:w="88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商业（含菜市场）</w:t>
            </w:r>
          </w:p>
        </w:tc>
        <w:tc>
          <w:tcPr>
            <w:tcW w:w="115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w:t>
            </w:r>
            <w:r>
              <w:rPr>
                <w:rFonts w:ascii="黑体" w:eastAsia="黑体" w:hAnsi="黑体"/>
                <w:sz w:val="18"/>
                <w:szCs w:val="18"/>
              </w:rPr>
              <w:t>000-</w:t>
            </w:r>
            <w:r>
              <w:rPr>
                <w:rFonts w:ascii="黑体" w:eastAsia="黑体" w:hAnsi="黑体" w:hint="eastAsia"/>
                <w:sz w:val="18"/>
                <w:szCs w:val="18"/>
              </w:rPr>
              <w:t>110</w:t>
            </w:r>
            <w:r>
              <w:rPr>
                <w:rFonts w:ascii="黑体" w:eastAsia="黑体" w:hAnsi="黑体"/>
                <w:sz w:val="18"/>
                <w:szCs w:val="18"/>
              </w:rPr>
              <w:t>00</w:t>
            </w:r>
          </w:p>
        </w:tc>
        <w:tc>
          <w:tcPr>
            <w:tcW w:w="109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w:t>
            </w:r>
            <w:r>
              <w:rPr>
                <w:rFonts w:ascii="黑体" w:eastAsia="黑体" w:hAnsi="黑体" w:hint="eastAsia"/>
                <w:sz w:val="18"/>
                <w:szCs w:val="18"/>
              </w:rPr>
              <w:t>0</w:t>
            </w:r>
            <w:r>
              <w:rPr>
                <w:rFonts w:ascii="黑体" w:eastAsia="黑体" w:hAnsi="黑体"/>
                <w:sz w:val="18"/>
                <w:szCs w:val="18"/>
              </w:rPr>
              <w:t>00-5</w:t>
            </w:r>
            <w:r>
              <w:rPr>
                <w:rFonts w:ascii="黑体" w:eastAsia="黑体" w:hAnsi="黑体" w:hint="eastAsia"/>
                <w:sz w:val="18"/>
                <w:szCs w:val="18"/>
              </w:rPr>
              <w:t>8</w:t>
            </w:r>
            <w:r>
              <w:rPr>
                <w:rFonts w:ascii="黑体" w:eastAsia="黑体" w:hAnsi="黑体"/>
                <w:sz w:val="18"/>
                <w:szCs w:val="18"/>
              </w:rPr>
              <w:t>00</w:t>
            </w:r>
          </w:p>
        </w:tc>
        <w:tc>
          <w:tcPr>
            <w:tcW w:w="5330"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1、配置要求：宜相对集中布局，服务半径不大于500m。表格中的标准为生活圈总量。</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2、配置内容：其中菜市场建筑面积为2000-2500㎡。</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3、千人指标引导：建筑面积千人指标320-460㎡/千人，用地面积千人指标为200-240㎡/千人。</w:t>
            </w:r>
          </w:p>
        </w:tc>
      </w:tr>
      <w:tr w:rsidR="00DA44CC">
        <w:trPr>
          <w:cantSplit/>
          <w:trHeight w:val="394"/>
          <w:tblHeader/>
        </w:trPr>
        <w:tc>
          <w:tcPr>
            <w:tcW w:w="61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U15</w:t>
            </w:r>
          </w:p>
        </w:tc>
        <w:tc>
          <w:tcPr>
            <w:tcW w:w="88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通信基站</w:t>
            </w:r>
          </w:p>
        </w:tc>
        <w:tc>
          <w:tcPr>
            <w:tcW w:w="115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09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10-100</w:t>
            </w:r>
          </w:p>
        </w:tc>
        <w:tc>
          <w:tcPr>
            <w:tcW w:w="5330"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配置要求：根据基站密度划分服务半径为200-600m。</w:t>
            </w:r>
          </w:p>
        </w:tc>
      </w:tr>
    </w:tbl>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第三十一条  五分钟生活圈居住区配套设施</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五分钟生活圈居住区内公共服务设施为居住用地内部的社区服务设施，应配置社区服务站、党群活动中心、文化活动站、小型多功能运动场地、室外综合健身场地、卫生服务站、老年日间照料中心等内容。</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五分钟生活圈配套设施宜集中布局、联合建设，形成社区综合服务中心，用地面积不宜小于0.3公顷。用地面积千人指标为1710-2210平方米/千人，建筑面积千人指标为1070-1820平方米/千人。具体配置要求如表4-9所示。</w:t>
      </w:r>
    </w:p>
    <w:p w:rsidR="00DA44CC" w:rsidRDefault="00C53A1B">
      <w:pPr>
        <w:spacing w:line="360" w:lineRule="auto"/>
        <w:jc w:val="center"/>
        <w:rPr>
          <w:rFonts w:ascii="黑体" w:eastAsia="黑体" w:hAnsi="黑体"/>
        </w:rPr>
      </w:pPr>
      <w:r>
        <w:rPr>
          <w:rFonts w:ascii="黑体" w:eastAsia="黑体" w:hAnsi="黑体" w:hint="eastAsia"/>
        </w:rPr>
        <w:t>表4-9五分钟生活圈配套设施设置规定</w:t>
      </w:r>
    </w:p>
    <w:tbl>
      <w:tblPr>
        <w:tblW w:w="90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98"/>
        <w:gridCol w:w="1075"/>
        <w:gridCol w:w="1226"/>
        <w:gridCol w:w="5331"/>
      </w:tblGrid>
      <w:tr w:rsidR="00DA44CC">
        <w:trPr>
          <w:cantSplit/>
        </w:trPr>
        <w:tc>
          <w:tcPr>
            <w:tcW w:w="1398"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项目名称</w:t>
            </w:r>
          </w:p>
        </w:tc>
        <w:tc>
          <w:tcPr>
            <w:tcW w:w="2301" w:type="dxa"/>
            <w:gridSpan w:val="2"/>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一般规模（㎡/处）</w:t>
            </w:r>
          </w:p>
        </w:tc>
        <w:tc>
          <w:tcPr>
            <w:tcW w:w="5331"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配置说明</w:t>
            </w:r>
          </w:p>
        </w:tc>
      </w:tr>
      <w:tr w:rsidR="00DA44CC">
        <w:trPr>
          <w:cantSplit/>
        </w:trPr>
        <w:tc>
          <w:tcPr>
            <w:tcW w:w="1398" w:type="dxa"/>
            <w:vMerge/>
            <w:vAlign w:val="center"/>
          </w:tcPr>
          <w:p w:rsidR="00DA44CC" w:rsidRDefault="00DA44CC">
            <w:pPr>
              <w:adjustRightInd w:val="0"/>
              <w:snapToGrid w:val="0"/>
              <w:spacing w:line="240" w:lineRule="atLeast"/>
              <w:rPr>
                <w:rFonts w:ascii="黑体" w:eastAsia="黑体" w:hAnsi="黑体"/>
                <w:sz w:val="18"/>
                <w:szCs w:val="18"/>
              </w:rPr>
            </w:pPr>
          </w:p>
        </w:tc>
        <w:tc>
          <w:tcPr>
            <w:tcW w:w="107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建筑面积</w:t>
            </w:r>
          </w:p>
        </w:tc>
        <w:tc>
          <w:tcPr>
            <w:tcW w:w="1226"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用地面积</w:t>
            </w:r>
          </w:p>
        </w:tc>
        <w:tc>
          <w:tcPr>
            <w:tcW w:w="5331" w:type="dxa"/>
            <w:vMerge/>
            <w:vAlign w:val="center"/>
          </w:tcPr>
          <w:p w:rsidR="00DA44CC" w:rsidRDefault="00DA44CC">
            <w:pPr>
              <w:adjustRightInd w:val="0"/>
              <w:snapToGrid w:val="0"/>
              <w:spacing w:line="240" w:lineRule="atLeast"/>
              <w:rPr>
                <w:rFonts w:ascii="黑体" w:eastAsia="黑体" w:hAnsi="黑体"/>
                <w:sz w:val="18"/>
                <w:szCs w:val="18"/>
              </w:rPr>
            </w:pPr>
          </w:p>
        </w:tc>
      </w:tr>
      <w:tr w:rsidR="00DA44CC">
        <w:trPr>
          <w:cantSplit/>
          <w:trHeight w:val="506"/>
          <w:tblHeader/>
        </w:trPr>
        <w:tc>
          <w:tcPr>
            <w:tcW w:w="139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社区服务站</w:t>
            </w:r>
          </w:p>
        </w:tc>
        <w:tc>
          <w:tcPr>
            <w:tcW w:w="107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600-1000</w:t>
            </w:r>
          </w:p>
        </w:tc>
        <w:tc>
          <w:tcPr>
            <w:tcW w:w="122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500-800</w:t>
            </w:r>
          </w:p>
        </w:tc>
        <w:tc>
          <w:tcPr>
            <w:tcW w:w="5331"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配置内容：社区服务站含社区服务大厅、警务室、社区办公室、居民活动用房，活动室、阅览室、残疾人康复室。</w:t>
            </w:r>
          </w:p>
        </w:tc>
      </w:tr>
      <w:tr w:rsidR="00DA44CC">
        <w:trPr>
          <w:cantSplit/>
          <w:trHeight w:val="669"/>
          <w:tblHeader/>
        </w:trPr>
        <w:tc>
          <w:tcPr>
            <w:tcW w:w="139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党群服务中心</w:t>
            </w:r>
          </w:p>
        </w:tc>
        <w:tc>
          <w:tcPr>
            <w:tcW w:w="107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500</w:t>
            </w:r>
          </w:p>
        </w:tc>
        <w:tc>
          <w:tcPr>
            <w:tcW w:w="122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5331"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配置内容：基层党组织开展活动、教育管理党员、提供便民服务。</w:t>
            </w:r>
          </w:p>
        </w:tc>
      </w:tr>
      <w:tr w:rsidR="00DA44CC">
        <w:trPr>
          <w:cantSplit/>
          <w:trHeight w:val="302"/>
          <w:tblHeader/>
        </w:trPr>
        <w:tc>
          <w:tcPr>
            <w:tcW w:w="139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文化活动站</w:t>
            </w:r>
          </w:p>
        </w:tc>
        <w:tc>
          <w:tcPr>
            <w:tcW w:w="107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250-1200</w:t>
            </w:r>
          </w:p>
        </w:tc>
        <w:tc>
          <w:tcPr>
            <w:tcW w:w="122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5331"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1、配置要求：宜结合或靠近公共绿地设置。</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2、配置内容：书报阅览、书画、文娱、健身、音乐欣赏、茶座等主要供青少年和老年人活动。</w:t>
            </w:r>
          </w:p>
        </w:tc>
      </w:tr>
      <w:tr w:rsidR="00DA44CC">
        <w:trPr>
          <w:cantSplit/>
          <w:trHeight w:val="302"/>
          <w:tblHeader/>
        </w:trPr>
        <w:tc>
          <w:tcPr>
            <w:tcW w:w="139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lastRenderedPageBreak/>
              <w:t>小型多功能运动场地</w:t>
            </w:r>
          </w:p>
        </w:tc>
        <w:tc>
          <w:tcPr>
            <w:tcW w:w="107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22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800-1310</w:t>
            </w:r>
          </w:p>
        </w:tc>
        <w:tc>
          <w:tcPr>
            <w:tcW w:w="5331"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1、配置要求：门球活动场地应提供休憩服务和安全防护措施。</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2、配置内容：半场篮球场一个、门球场地一个、乒乓球场地2个。</w:t>
            </w:r>
          </w:p>
        </w:tc>
      </w:tr>
      <w:tr w:rsidR="00DA44CC">
        <w:trPr>
          <w:cantSplit/>
          <w:trHeight w:val="302"/>
          <w:tblHeader/>
        </w:trPr>
        <w:tc>
          <w:tcPr>
            <w:tcW w:w="139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室外综合健身场地</w:t>
            </w:r>
          </w:p>
        </w:tc>
        <w:tc>
          <w:tcPr>
            <w:tcW w:w="107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22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150-750</w:t>
            </w:r>
          </w:p>
        </w:tc>
        <w:tc>
          <w:tcPr>
            <w:tcW w:w="5331"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1、配置要求：老年人户外活动场地应设置休憩设施，附近宜设置公共厕所。广场舞活动场地的设置应避免噪声扰民。</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2、配置内容：健身场所、广场舞场地。</w:t>
            </w:r>
          </w:p>
        </w:tc>
      </w:tr>
      <w:tr w:rsidR="00DA44CC">
        <w:trPr>
          <w:cantSplit/>
          <w:trHeight w:val="302"/>
          <w:tblHeader/>
        </w:trPr>
        <w:tc>
          <w:tcPr>
            <w:tcW w:w="139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老年人日间照料中心</w:t>
            </w:r>
          </w:p>
        </w:tc>
        <w:tc>
          <w:tcPr>
            <w:tcW w:w="107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350-750</w:t>
            </w:r>
          </w:p>
        </w:tc>
        <w:tc>
          <w:tcPr>
            <w:tcW w:w="122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5331"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配置内容：老年人日托服务，包括餐饮、文娱、健身、医疗保健等。</w:t>
            </w:r>
          </w:p>
        </w:tc>
      </w:tr>
      <w:tr w:rsidR="00DA44CC">
        <w:trPr>
          <w:cantSplit/>
          <w:trHeight w:val="302"/>
          <w:tblHeader/>
        </w:trPr>
        <w:tc>
          <w:tcPr>
            <w:tcW w:w="139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卫生服务站</w:t>
            </w:r>
          </w:p>
        </w:tc>
        <w:tc>
          <w:tcPr>
            <w:tcW w:w="107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120-270</w:t>
            </w:r>
          </w:p>
        </w:tc>
        <w:tc>
          <w:tcPr>
            <w:tcW w:w="122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5331"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1、配置要求：应安排在建筑首层，设独立出入口。</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2、配置内容：预防、医疗、计生等服务</w:t>
            </w:r>
          </w:p>
        </w:tc>
      </w:tr>
      <w:tr w:rsidR="00DA44CC">
        <w:trPr>
          <w:cantSplit/>
          <w:trHeight w:val="302"/>
          <w:tblHeader/>
        </w:trPr>
        <w:tc>
          <w:tcPr>
            <w:tcW w:w="139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小超市</w:t>
            </w:r>
          </w:p>
        </w:tc>
        <w:tc>
          <w:tcPr>
            <w:tcW w:w="107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22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5331"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配置要求：满足居民日常生活用品销售</w:t>
            </w:r>
          </w:p>
        </w:tc>
      </w:tr>
      <w:tr w:rsidR="00DA44CC">
        <w:trPr>
          <w:cantSplit/>
          <w:trHeight w:val="302"/>
          <w:tblHeader/>
        </w:trPr>
        <w:tc>
          <w:tcPr>
            <w:tcW w:w="139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公共厕所</w:t>
            </w:r>
          </w:p>
        </w:tc>
        <w:tc>
          <w:tcPr>
            <w:tcW w:w="107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30-80</w:t>
            </w:r>
          </w:p>
        </w:tc>
        <w:tc>
          <w:tcPr>
            <w:tcW w:w="122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60-120</w:t>
            </w:r>
          </w:p>
        </w:tc>
        <w:tc>
          <w:tcPr>
            <w:tcW w:w="5331"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配置要求：宜设置于人流集中处，建议结合室外综合健身场地（含老年户外互动场地）设置</w:t>
            </w:r>
          </w:p>
        </w:tc>
      </w:tr>
      <w:tr w:rsidR="00DA44CC">
        <w:trPr>
          <w:cantSplit/>
          <w:trHeight w:val="302"/>
          <w:tblHeader/>
        </w:trPr>
        <w:tc>
          <w:tcPr>
            <w:tcW w:w="1398" w:type="dxa"/>
            <w:vAlign w:val="center"/>
          </w:tcPr>
          <w:p w:rsidR="00DA44CC" w:rsidRDefault="00DA44CC">
            <w:pPr>
              <w:adjustRightInd w:val="0"/>
              <w:snapToGrid w:val="0"/>
              <w:spacing w:line="240" w:lineRule="atLeast"/>
              <w:rPr>
                <w:rFonts w:ascii="黑体" w:eastAsia="黑体" w:hAnsi="黑体"/>
                <w:sz w:val="18"/>
                <w:szCs w:val="18"/>
              </w:rPr>
            </w:pPr>
          </w:p>
        </w:tc>
        <w:tc>
          <w:tcPr>
            <w:tcW w:w="1075" w:type="dxa"/>
            <w:vAlign w:val="center"/>
          </w:tcPr>
          <w:p w:rsidR="00DA44CC" w:rsidRDefault="00DA44CC">
            <w:pPr>
              <w:adjustRightInd w:val="0"/>
              <w:snapToGrid w:val="0"/>
              <w:spacing w:line="240" w:lineRule="atLeast"/>
              <w:rPr>
                <w:rFonts w:ascii="黑体" w:eastAsia="黑体" w:hAnsi="黑体"/>
                <w:sz w:val="18"/>
                <w:szCs w:val="18"/>
              </w:rPr>
            </w:pPr>
          </w:p>
        </w:tc>
        <w:tc>
          <w:tcPr>
            <w:tcW w:w="1226" w:type="dxa"/>
            <w:vAlign w:val="center"/>
          </w:tcPr>
          <w:p w:rsidR="00DA44CC" w:rsidRDefault="00DA44CC">
            <w:pPr>
              <w:adjustRightInd w:val="0"/>
              <w:snapToGrid w:val="0"/>
              <w:spacing w:line="240" w:lineRule="atLeast"/>
              <w:rPr>
                <w:rFonts w:ascii="黑体" w:eastAsia="黑体" w:hAnsi="黑体"/>
                <w:sz w:val="18"/>
                <w:szCs w:val="18"/>
              </w:rPr>
            </w:pPr>
          </w:p>
        </w:tc>
        <w:tc>
          <w:tcPr>
            <w:tcW w:w="5331" w:type="dxa"/>
            <w:vAlign w:val="center"/>
          </w:tcPr>
          <w:p w:rsidR="00DA44CC" w:rsidRDefault="00DA44CC">
            <w:pPr>
              <w:adjustRightInd w:val="0"/>
              <w:snapToGrid w:val="0"/>
              <w:spacing w:line="240" w:lineRule="atLeast"/>
              <w:jc w:val="left"/>
              <w:rPr>
                <w:rFonts w:ascii="黑体" w:eastAsia="黑体" w:hAnsi="黑体"/>
                <w:sz w:val="18"/>
                <w:szCs w:val="18"/>
              </w:rPr>
            </w:pPr>
          </w:p>
        </w:tc>
      </w:tr>
    </w:tbl>
    <w:p w:rsidR="00DA44CC" w:rsidRDefault="00C53A1B" w:rsidP="00D43F73">
      <w:pPr>
        <w:adjustRightInd w:val="0"/>
        <w:snapToGrid w:val="0"/>
        <w:spacing w:line="54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第三十二条  居住街坊配套设施</w:t>
      </w:r>
    </w:p>
    <w:p w:rsidR="00DA44CC" w:rsidRDefault="00C53A1B" w:rsidP="00D43F73">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居住街坊内公共服务设施为居住用地内部的便民服务设施，应配置物业管理、儿童、老年人活动场地、室外健身器材、生活服务点等内容。用地面积千人指标为100-200平方米/千人，建筑面积千人指标为80-15平方米/千人。具体配置要求如表4-10所示。</w:t>
      </w:r>
    </w:p>
    <w:p w:rsidR="00DA44CC" w:rsidRDefault="00C53A1B">
      <w:pPr>
        <w:spacing w:line="360" w:lineRule="auto"/>
        <w:jc w:val="center"/>
        <w:rPr>
          <w:rFonts w:ascii="黑体" w:eastAsia="黑体" w:hAnsi="黑体"/>
        </w:rPr>
      </w:pPr>
      <w:r>
        <w:rPr>
          <w:rFonts w:ascii="黑体" w:eastAsia="黑体" w:hAnsi="黑体" w:hint="eastAsia"/>
        </w:rPr>
        <w:t>表4-10居住街坊配套设施设置规定</w:t>
      </w:r>
    </w:p>
    <w:tbl>
      <w:tblPr>
        <w:tblW w:w="90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2"/>
        <w:gridCol w:w="1123"/>
        <w:gridCol w:w="1161"/>
        <w:gridCol w:w="5794"/>
      </w:tblGrid>
      <w:tr w:rsidR="00DA44CC">
        <w:trPr>
          <w:cantSplit/>
        </w:trPr>
        <w:tc>
          <w:tcPr>
            <w:tcW w:w="952"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项目名称</w:t>
            </w:r>
          </w:p>
        </w:tc>
        <w:tc>
          <w:tcPr>
            <w:tcW w:w="2284" w:type="dxa"/>
            <w:gridSpan w:val="2"/>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一般规模（㎡/处）</w:t>
            </w:r>
          </w:p>
        </w:tc>
        <w:tc>
          <w:tcPr>
            <w:tcW w:w="5794"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配置说明</w:t>
            </w:r>
          </w:p>
        </w:tc>
      </w:tr>
      <w:tr w:rsidR="00DA44CC">
        <w:trPr>
          <w:cantSplit/>
        </w:trPr>
        <w:tc>
          <w:tcPr>
            <w:tcW w:w="952" w:type="dxa"/>
            <w:vMerge/>
            <w:vAlign w:val="center"/>
          </w:tcPr>
          <w:p w:rsidR="00DA44CC" w:rsidRDefault="00DA44CC">
            <w:pPr>
              <w:adjustRightInd w:val="0"/>
              <w:snapToGrid w:val="0"/>
              <w:spacing w:line="240" w:lineRule="atLeast"/>
              <w:rPr>
                <w:rFonts w:ascii="黑体" w:eastAsia="黑体" w:hAnsi="黑体"/>
                <w:sz w:val="18"/>
                <w:szCs w:val="18"/>
              </w:rPr>
            </w:pPr>
          </w:p>
        </w:tc>
        <w:tc>
          <w:tcPr>
            <w:tcW w:w="1123"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建筑面积</w:t>
            </w:r>
          </w:p>
        </w:tc>
        <w:tc>
          <w:tcPr>
            <w:tcW w:w="1161"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用地面积</w:t>
            </w:r>
          </w:p>
        </w:tc>
        <w:tc>
          <w:tcPr>
            <w:tcW w:w="5794" w:type="dxa"/>
            <w:vMerge/>
            <w:vAlign w:val="center"/>
          </w:tcPr>
          <w:p w:rsidR="00DA44CC" w:rsidRDefault="00DA44CC">
            <w:pPr>
              <w:adjustRightInd w:val="0"/>
              <w:snapToGrid w:val="0"/>
              <w:spacing w:line="240" w:lineRule="atLeast"/>
              <w:rPr>
                <w:rFonts w:ascii="黑体" w:eastAsia="黑体" w:hAnsi="黑体"/>
                <w:sz w:val="18"/>
                <w:szCs w:val="18"/>
              </w:rPr>
            </w:pPr>
          </w:p>
        </w:tc>
      </w:tr>
      <w:tr w:rsidR="00DA44CC">
        <w:trPr>
          <w:cantSplit/>
          <w:trHeight w:val="522"/>
          <w:tblHeader/>
        </w:trPr>
        <w:tc>
          <w:tcPr>
            <w:tcW w:w="95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物业管理与服务</w:t>
            </w:r>
          </w:p>
        </w:tc>
        <w:tc>
          <w:tcPr>
            <w:tcW w:w="112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161"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5794"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配置要求：宜按照不低于物业总建筑面积的 2‰配置物业管理用房。</w:t>
            </w:r>
          </w:p>
        </w:tc>
      </w:tr>
      <w:tr w:rsidR="00DA44CC">
        <w:trPr>
          <w:cantSplit/>
          <w:trHeight w:val="302"/>
          <w:tblHeader/>
        </w:trPr>
        <w:tc>
          <w:tcPr>
            <w:tcW w:w="95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儿童、老年人活动场地</w:t>
            </w:r>
          </w:p>
        </w:tc>
        <w:tc>
          <w:tcPr>
            <w:tcW w:w="112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161"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170-450</w:t>
            </w:r>
          </w:p>
        </w:tc>
        <w:tc>
          <w:tcPr>
            <w:tcW w:w="5794"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配置要求：宜结合绿地设置，并设置休憩设施。</w:t>
            </w:r>
          </w:p>
        </w:tc>
      </w:tr>
      <w:tr w:rsidR="00DA44CC">
        <w:trPr>
          <w:cantSplit/>
          <w:trHeight w:val="302"/>
          <w:tblHeader/>
        </w:trPr>
        <w:tc>
          <w:tcPr>
            <w:tcW w:w="95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室外健身器材</w:t>
            </w:r>
          </w:p>
        </w:tc>
        <w:tc>
          <w:tcPr>
            <w:tcW w:w="112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161"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5794"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配置要求：宜结合绿地设置。</w:t>
            </w:r>
          </w:p>
        </w:tc>
      </w:tr>
      <w:tr w:rsidR="00DA44CC">
        <w:trPr>
          <w:cantSplit/>
          <w:trHeight w:val="302"/>
          <w:tblHeader/>
        </w:trPr>
        <w:tc>
          <w:tcPr>
            <w:tcW w:w="95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生活服务点</w:t>
            </w:r>
          </w:p>
        </w:tc>
        <w:tc>
          <w:tcPr>
            <w:tcW w:w="112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w:t>
            </w:r>
          </w:p>
        </w:tc>
        <w:tc>
          <w:tcPr>
            <w:tcW w:w="1161"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5794"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配置要求：一般包括便利店、修理服务、家政服务、膳食供应、菜店等，1000-3000人设置一处。</w:t>
            </w:r>
          </w:p>
        </w:tc>
      </w:tr>
      <w:tr w:rsidR="00DA44CC">
        <w:trPr>
          <w:cantSplit/>
          <w:trHeight w:val="302"/>
          <w:tblHeader/>
        </w:trPr>
        <w:tc>
          <w:tcPr>
            <w:tcW w:w="95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邮件和快件送达设施</w:t>
            </w:r>
          </w:p>
        </w:tc>
        <w:tc>
          <w:tcPr>
            <w:tcW w:w="112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161"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5794"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1、配置要求：应结合物业管理设施或在居住街坊内设置。</w:t>
            </w:r>
          </w:p>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2、配置内容：智能快件箱、智能信包箱等可接收邮件和快件的设施或场所。</w:t>
            </w:r>
          </w:p>
        </w:tc>
      </w:tr>
      <w:tr w:rsidR="00DA44CC">
        <w:trPr>
          <w:cantSplit/>
          <w:trHeight w:val="302"/>
          <w:tblHeader/>
        </w:trPr>
        <w:tc>
          <w:tcPr>
            <w:tcW w:w="95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生活垃圾收集点</w:t>
            </w:r>
          </w:p>
        </w:tc>
        <w:tc>
          <w:tcPr>
            <w:tcW w:w="112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161"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5794"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配置要求：服务半径不应大于70m，宜采用分类收集。</w:t>
            </w:r>
          </w:p>
        </w:tc>
      </w:tr>
      <w:tr w:rsidR="00DA44CC">
        <w:trPr>
          <w:cantSplit/>
          <w:trHeight w:val="302"/>
          <w:tblHeader/>
        </w:trPr>
        <w:tc>
          <w:tcPr>
            <w:tcW w:w="95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再生资源回收点</w:t>
            </w:r>
          </w:p>
        </w:tc>
        <w:tc>
          <w:tcPr>
            <w:tcW w:w="112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w:t>
            </w:r>
          </w:p>
        </w:tc>
        <w:tc>
          <w:tcPr>
            <w:tcW w:w="1161"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6-10</w:t>
            </w:r>
          </w:p>
        </w:tc>
        <w:tc>
          <w:tcPr>
            <w:tcW w:w="5794"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配置要求：位置应满足卫生、防疫及居住环境等要求。</w:t>
            </w:r>
          </w:p>
        </w:tc>
      </w:tr>
    </w:tbl>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第三十三条  其他规定要求</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新区配建应采用集中、兼容、高配原则，老区难以实现的，</w:t>
      </w:r>
      <w:r>
        <w:rPr>
          <w:rFonts w:ascii="方正仿宋简体" w:eastAsia="方正仿宋简体" w:hAnsi="宋体" w:cs="仿宋_GB2312" w:hint="eastAsia"/>
          <w:color w:val="000000"/>
          <w:sz w:val="32"/>
          <w:szCs w:val="32"/>
        </w:rPr>
        <w:lastRenderedPageBreak/>
        <w:t>可采用分散、改造、租用等模式进行配建，用地不满足标准，可按照本标准的70%执行，建筑面积不折减。</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若居住区内有区级公共服务设施，则可以根据具体情况，可免配十五分钟生活圈居住区公共服务设施，具体如表4-11所示。</w:t>
      </w:r>
    </w:p>
    <w:p w:rsidR="00DA44CC" w:rsidRDefault="00C53A1B">
      <w:pPr>
        <w:spacing w:line="360" w:lineRule="auto"/>
        <w:jc w:val="center"/>
        <w:rPr>
          <w:rFonts w:ascii="黑体" w:eastAsia="黑体" w:hAnsi="黑体"/>
        </w:rPr>
      </w:pPr>
      <w:r>
        <w:rPr>
          <w:rFonts w:ascii="黑体" w:eastAsia="黑体" w:hAnsi="黑体" w:hint="eastAsia"/>
        </w:rPr>
        <w:t>表4-11居住区级公共服务设施折减情况</w:t>
      </w:r>
    </w:p>
    <w:tbl>
      <w:tblPr>
        <w:tblW w:w="92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91"/>
        <w:gridCol w:w="8025"/>
      </w:tblGrid>
      <w:tr w:rsidR="00DA44CC">
        <w:trPr>
          <w:trHeight w:val="506"/>
        </w:trPr>
        <w:tc>
          <w:tcPr>
            <w:tcW w:w="1191"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类型</w:t>
            </w:r>
          </w:p>
        </w:tc>
        <w:tc>
          <w:tcPr>
            <w:tcW w:w="802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配置说明</w:t>
            </w:r>
          </w:p>
        </w:tc>
      </w:tr>
      <w:tr w:rsidR="00DA44CC">
        <w:trPr>
          <w:trHeight w:val="685"/>
        </w:trPr>
        <w:tc>
          <w:tcPr>
            <w:tcW w:w="1191"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文化设施</w:t>
            </w:r>
          </w:p>
        </w:tc>
        <w:tc>
          <w:tcPr>
            <w:tcW w:w="8025"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居住区内有区级文化设施（图书馆、文化馆、文化活动中心），则应在区级文化设施中增加服务于本居住区文化功能，不再单独建设居住区级别文化活动中心。</w:t>
            </w:r>
          </w:p>
        </w:tc>
      </w:tr>
      <w:tr w:rsidR="00DA44CC">
        <w:trPr>
          <w:trHeight w:val="891"/>
        </w:trPr>
        <w:tc>
          <w:tcPr>
            <w:tcW w:w="1191"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体育设施</w:t>
            </w:r>
          </w:p>
        </w:tc>
        <w:tc>
          <w:tcPr>
            <w:tcW w:w="8025"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居住区内有区级体育设施（健身场馆、游泳馆、运动场地等），则应在区级体育设施中增加服务于本居住区体育功能，不再单独建设居住区体育场馆；球类场地可跟十五分钟、十分钟生活圈中心绿地结合设置。</w:t>
            </w:r>
          </w:p>
        </w:tc>
      </w:tr>
      <w:tr w:rsidR="00DA44CC">
        <w:trPr>
          <w:trHeight w:val="305"/>
        </w:trPr>
        <w:tc>
          <w:tcPr>
            <w:tcW w:w="1191"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医疗设施</w:t>
            </w:r>
          </w:p>
        </w:tc>
        <w:tc>
          <w:tcPr>
            <w:tcW w:w="8025"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居住区内有综合医院，则不再设置独立用地的居住区卫生服务中心。</w:t>
            </w:r>
          </w:p>
        </w:tc>
      </w:tr>
      <w:tr w:rsidR="00DA44CC">
        <w:trPr>
          <w:trHeight w:val="621"/>
        </w:trPr>
        <w:tc>
          <w:tcPr>
            <w:tcW w:w="1191"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养老设施</w:t>
            </w:r>
          </w:p>
        </w:tc>
        <w:tc>
          <w:tcPr>
            <w:tcW w:w="8025"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居住区内有养老设施（养老院、护理院），则居住区不再设置相应的养老设施（养老院、护理院）。附近有养老院、护理院，老年日间照料中心可与之合并设置。</w:t>
            </w:r>
          </w:p>
        </w:tc>
      </w:tr>
    </w:tbl>
    <w:p w:rsidR="00DA44CC" w:rsidRDefault="00DA44CC">
      <w:pPr>
        <w:adjustRightInd w:val="0"/>
        <w:snapToGrid w:val="0"/>
        <w:spacing w:line="600" w:lineRule="exact"/>
        <w:jc w:val="center"/>
        <w:rPr>
          <w:rFonts w:ascii="方正黑体简体" w:eastAsia="方正黑体简体" w:hAnsi="宋体" w:cs="黑体"/>
          <w:color w:val="000000"/>
          <w:sz w:val="32"/>
          <w:szCs w:val="32"/>
        </w:rPr>
      </w:pPr>
    </w:p>
    <w:p w:rsidR="00DA44CC" w:rsidRDefault="00C53A1B">
      <w:pPr>
        <w:adjustRightInd w:val="0"/>
        <w:snapToGrid w:val="0"/>
        <w:spacing w:line="60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第四节  基础教育设施</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第三十四条  服务半径与千人指标</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仿宋简体" w:eastAsia="方正仿宋简体" w:hAnsi="宋体" w:cs="仿宋_GB2312" w:hint="eastAsia"/>
          <w:color w:val="000000"/>
          <w:sz w:val="32"/>
          <w:szCs w:val="32"/>
        </w:rPr>
        <w:t>幼儿园服务半径宜为300米；小学服务半径宜为500米；中学服务半径宜为1000米。一般每10万人应配建一所高中，一般每3.0万人应配建一所初中，一般1.5万人配建小学一所，每0.6万人应配建幼儿园一所。</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第三十五条  中小学、幼儿园配置标准</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中小学、幼儿园配置标准原则为“老校老标准、新校新标准；老区省标准、新区市标准”。主要依据标准为《山东省普通中小学校办学条件标准》、《济宁市中小学校舍建设标准（试行）》、《山</w:t>
      </w:r>
      <w:r>
        <w:rPr>
          <w:rFonts w:ascii="方正仿宋简体" w:eastAsia="方正仿宋简体" w:hAnsi="宋体" w:cs="仿宋_GB2312" w:hint="eastAsia"/>
          <w:color w:val="000000"/>
          <w:sz w:val="32"/>
          <w:szCs w:val="32"/>
        </w:rPr>
        <w:lastRenderedPageBreak/>
        <w:t>东省幼儿园办园条件标准》。其中“老区”、“新区”划定依据济宁市中心城区街区主导类型划分图（详见附图五），“新区”参照新建型街区区域，“老区”参照保护型、保留型、更新型街区区域。</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（1）老校（指规划保留的现状学校）要求保留教育设施基本办学标准（用地标准底限），其中幼儿园八班以下规模的幼儿园按最低12</w:t>
      </w:r>
      <w:r>
        <w:rPr>
          <w:rFonts w:ascii="Arial Unicode MS" w:eastAsia="Arial Unicode MS" w:hAnsi="Arial Unicode MS" w:cs="Arial Unicode MS" w:hint="eastAsia"/>
          <w:color w:val="000000"/>
          <w:sz w:val="32"/>
          <w:szCs w:val="32"/>
        </w:rPr>
        <w:t>㎡</w:t>
      </w:r>
      <w:r>
        <w:rPr>
          <w:rFonts w:ascii="方正仿宋简体" w:eastAsia="方正仿宋简体" w:hAnsi="宋体" w:cs="仿宋_GB2312" w:hint="eastAsia"/>
          <w:color w:val="000000"/>
          <w:sz w:val="32"/>
          <w:szCs w:val="32"/>
        </w:rPr>
        <w:t>/生，八班及八班以上规模的幼儿园按最低9</w:t>
      </w:r>
      <w:r>
        <w:rPr>
          <w:rFonts w:ascii="Arial Unicode MS" w:eastAsia="Arial Unicode MS" w:hAnsi="Arial Unicode MS" w:cs="Arial Unicode MS" w:hint="eastAsia"/>
          <w:color w:val="000000"/>
          <w:sz w:val="32"/>
          <w:szCs w:val="32"/>
        </w:rPr>
        <w:t>㎡</w:t>
      </w:r>
      <w:r>
        <w:rPr>
          <w:rFonts w:ascii="方正仿宋简体" w:eastAsia="方正仿宋简体" w:hAnsi="宋体" w:cs="仿宋_GB2312" w:hint="eastAsia"/>
          <w:color w:val="000000"/>
          <w:sz w:val="32"/>
          <w:szCs w:val="32"/>
        </w:rPr>
        <w:t>/生；小学15</w:t>
      </w:r>
      <w:r>
        <w:rPr>
          <w:rFonts w:ascii="Arial Unicode MS" w:eastAsia="Arial Unicode MS" w:hAnsi="Arial Unicode MS" w:cs="Arial Unicode MS" w:hint="eastAsia"/>
          <w:color w:val="000000"/>
          <w:sz w:val="32"/>
          <w:szCs w:val="32"/>
        </w:rPr>
        <w:t>㎡</w:t>
      </w:r>
      <w:r>
        <w:rPr>
          <w:rFonts w:ascii="方正仿宋简体" w:eastAsia="方正仿宋简体" w:hAnsi="宋体" w:cs="仿宋_GB2312" w:hint="eastAsia"/>
          <w:color w:val="000000"/>
          <w:sz w:val="32"/>
          <w:szCs w:val="32"/>
        </w:rPr>
        <w:t>/生；中学18</w:t>
      </w:r>
      <w:r>
        <w:rPr>
          <w:rFonts w:ascii="Arial Unicode MS" w:eastAsia="Arial Unicode MS" w:hAnsi="Arial Unicode MS" w:cs="Arial Unicode MS" w:hint="eastAsia"/>
          <w:color w:val="000000"/>
          <w:sz w:val="32"/>
          <w:szCs w:val="32"/>
        </w:rPr>
        <w:t>㎡</w:t>
      </w:r>
      <w:r>
        <w:rPr>
          <w:rFonts w:ascii="方正仿宋简体" w:eastAsia="方正仿宋简体" w:hAnsi="宋体" w:cs="仿宋_GB2312" w:hint="eastAsia"/>
          <w:color w:val="000000"/>
          <w:sz w:val="32"/>
          <w:szCs w:val="32"/>
        </w:rPr>
        <w:t>/生。</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新校（指规划新建学校）。“老区”采用较低标准：《山东省普通中小学校办学条件标准》标准Ⅱ、见表4-12；《山东省幼儿园办园条件标准》幼儿园标准Ⅲ类，见表4-13。“新区”新建学校采用高标准：《济宁市中小学校舍建设标准（试行）》，见表4-14；幼儿园参照《山东省幼儿园办园条件标准》幼儿园标准Ⅰ类，详见表4-15。</w:t>
      </w:r>
    </w:p>
    <w:p w:rsidR="00D43F73" w:rsidRDefault="00D43F73">
      <w:pPr>
        <w:spacing w:line="360" w:lineRule="auto"/>
        <w:jc w:val="center"/>
        <w:rPr>
          <w:rFonts w:ascii="黑体" w:eastAsia="黑体" w:hAnsi="黑体"/>
        </w:rPr>
      </w:pPr>
    </w:p>
    <w:p w:rsidR="00DA44CC" w:rsidRDefault="00C53A1B">
      <w:pPr>
        <w:spacing w:line="360" w:lineRule="auto"/>
        <w:jc w:val="center"/>
        <w:rPr>
          <w:rFonts w:ascii="黑体" w:eastAsia="黑体" w:hAnsi="黑体"/>
        </w:rPr>
      </w:pPr>
      <w:r>
        <w:rPr>
          <w:rFonts w:ascii="黑体" w:eastAsia="黑体" w:hAnsi="黑体" w:hint="eastAsia"/>
        </w:rPr>
        <w:t>表4-12《山东省普通中小学校办学条件标准》标准Ⅱ</w:t>
      </w:r>
    </w:p>
    <w:tbl>
      <w:tblPr>
        <w:tblW w:w="92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36"/>
        <w:gridCol w:w="1338"/>
        <w:gridCol w:w="1530"/>
        <w:gridCol w:w="1687"/>
        <w:gridCol w:w="1687"/>
        <w:gridCol w:w="1438"/>
      </w:tblGrid>
      <w:tr w:rsidR="00DA44CC">
        <w:trPr>
          <w:trHeight w:val="130"/>
        </w:trPr>
        <w:tc>
          <w:tcPr>
            <w:tcW w:w="1536"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类别</w:t>
            </w:r>
          </w:p>
        </w:tc>
        <w:tc>
          <w:tcPr>
            <w:tcW w:w="1338"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学校规模</w:t>
            </w:r>
          </w:p>
        </w:tc>
        <w:tc>
          <w:tcPr>
            <w:tcW w:w="3217" w:type="dxa"/>
            <w:gridSpan w:val="2"/>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建设用地指标（m2）</w:t>
            </w:r>
          </w:p>
        </w:tc>
        <w:tc>
          <w:tcPr>
            <w:tcW w:w="3125" w:type="dxa"/>
            <w:gridSpan w:val="2"/>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建筑面积指标（</w:t>
            </w:r>
            <w:r>
              <w:rPr>
                <w:rFonts w:ascii="黑体" w:eastAsia="黑体" w:hAnsi="黑体"/>
                <w:sz w:val="18"/>
                <w:szCs w:val="18"/>
              </w:rPr>
              <w:t>m2</w:t>
            </w:r>
            <w:r>
              <w:rPr>
                <w:rFonts w:ascii="黑体" w:eastAsia="黑体" w:hAnsi="黑体" w:hint="eastAsia"/>
                <w:sz w:val="18"/>
                <w:szCs w:val="18"/>
              </w:rPr>
              <w:t>）</w:t>
            </w:r>
          </w:p>
        </w:tc>
      </w:tr>
      <w:tr w:rsidR="00DA44CC">
        <w:trPr>
          <w:trHeight w:val="89"/>
        </w:trPr>
        <w:tc>
          <w:tcPr>
            <w:tcW w:w="1536"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1338"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1530"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用地总面积</w:t>
            </w:r>
          </w:p>
        </w:tc>
        <w:tc>
          <w:tcPr>
            <w:tcW w:w="1687"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生均占地面积</w:t>
            </w:r>
          </w:p>
        </w:tc>
        <w:tc>
          <w:tcPr>
            <w:tcW w:w="1687"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建筑面积</w:t>
            </w:r>
          </w:p>
        </w:tc>
        <w:tc>
          <w:tcPr>
            <w:tcW w:w="1438"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生均指标</w:t>
            </w:r>
          </w:p>
        </w:tc>
      </w:tr>
      <w:tr w:rsidR="00DA44CC">
        <w:trPr>
          <w:trHeight w:val="330"/>
        </w:trPr>
        <w:tc>
          <w:tcPr>
            <w:tcW w:w="1536"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小学</w:t>
            </w: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12933</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28.74</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3776</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8.39</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15</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16112</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23.87</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5049</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7.48</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22689</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25.21</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6579</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7.31</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25</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28361</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25.21</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8224</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7.31</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30821</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22.83</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9261</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6.86</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35</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36713</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23.31</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10411</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6.61</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38358</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21.31</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11898</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6.61</w:t>
            </w:r>
          </w:p>
        </w:tc>
      </w:tr>
      <w:tr w:rsidR="00DA44CC">
        <w:trPr>
          <w:trHeight w:val="330"/>
        </w:trPr>
        <w:tc>
          <w:tcPr>
            <w:tcW w:w="1536"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初中标准Ⅱ</w:t>
            </w: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12</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17040</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28.4</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4865</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9.01</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16</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23336</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29.17</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6098</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8.47</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28400</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28.4</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8109</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9.01</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24</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31704</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26.42</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9482</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8.78</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28</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36988</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26.42</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11063</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8.78</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32</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42480</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26.55</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12355</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8.58</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36</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47790</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26.55</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13138</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8.11</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51220</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25.61</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15444</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8.58</w:t>
            </w:r>
          </w:p>
        </w:tc>
      </w:tr>
      <w:tr w:rsidR="00DA44CC">
        <w:trPr>
          <w:trHeight w:val="330"/>
        </w:trPr>
        <w:tc>
          <w:tcPr>
            <w:tcW w:w="1536"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普高标准Ⅱ</w:t>
            </w: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24</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36223</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30.19</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12843</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10.7</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41021</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27.35</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14715</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9.81</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36</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53588</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29.77</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17397</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9.66</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48</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64351</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26.78</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21818</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9.09</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60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74037</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24.68</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25458</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8.49</w:t>
            </w:r>
          </w:p>
        </w:tc>
      </w:tr>
      <w:tr w:rsidR="00DA44CC">
        <w:trPr>
          <w:trHeight w:val="330"/>
        </w:trPr>
        <w:tc>
          <w:tcPr>
            <w:tcW w:w="1536"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普高标准Ⅱ(寄宿制)</w:t>
            </w: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24</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39823</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30.19</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12843</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10.7</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45521</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27.35</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14715</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9.81</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36</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58988</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29.77</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17397</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9.66</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48</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71551</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26.78</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21818</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9.09</w:t>
            </w:r>
          </w:p>
        </w:tc>
      </w:tr>
      <w:tr w:rsidR="00DA44CC">
        <w:trPr>
          <w:trHeight w:val="330"/>
        </w:trPr>
        <w:tc>
          <w:tcPr>
            <w:tcW w:w="1536" w:type="dxa"/>
            <w:vMerge/>
            <w:vAlign w:val="center"/>
          </w:tcPr>
          <w:p w:rsidR="00DA44CC" w:rsidRDefault="00DA44CC">
            <w:pPr>
              <w:adjustRightInd w:val="0"/>
              <w:snapToGrid w:val="0"/>
              <w:spacing w:line="240" w:lineRule="atLeast"/>
              <w:rPr>
                <w:rFonts w:ascii="黑体" w:eastAsia="黑体" w:hAnsi="黑体"/>
                <w:sz w:val="18"/>
                <w:szCs w:val="18"/>
              </w:rPr>
            </w:pPr>
          </w:p>
        </w:tc>
        <w:tc>
          <w:tcPr>
            <w:tcW w:w="13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60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83037</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24.68</w:t>
            </w:r>
          </w:p>
        </w:tc>
        <w:tc>
          <w:tcPr>
            <w:tcW w:w="168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25458</w:t>
            </w:r>
          </w:p>
        </w:tc>
        <w:tc>
          <w:tcPr>
            <w:tcW w:w="1438"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8.49</w:t>
            </w:r>
          </w:p>
        </w:tc>
      </w:tr>
    </w:tbl>
    <w:p w:rsidR="00DA44CC" w:rsidRDefault="00C53A1B">
      <w:pPr>
        <w:adjustRightInd w:val="0"/>
        <w:snapToGrid w:val="0"/>
        <w:rPr>
          <w:rFonts w:ascii="黑体" w:eastAsia="黑体" w:hAnsi="黑体"/>
          <w:sz w:val="18"/>
          <w:szCs w:val="18"/>
        </w:rPr>
      </w:pPr>
      <w:r>
        <w:rPr>
          <w:rFonts w:ascii="黑体" w:eastAsia="黑体" w:hAnsi="黑体" w:hint="eastAsia"/>
          <w:sz w:val="18"/>
          <w:szCs w:val="18"/>
        </w:rPr>
        <w:t>注：用地紧张区域新建高中用地标准按普高标准Ⅱ执行，其他地区按普高标准Ⅱ寄宿制执行，若其他地区考虑现状用地各类状况，不能满足寄宿制高中用地需求，则可以按非寄宿制的普高标准Ⅱ执行。</w:t>
      </w:r>
    </w:p>
    <w:p w:rsidR="00DA44CC" w:rsidRDefault="00C53A1B">
      <w:pPr>
        <w:spacing w:line="360" w:lineRule="auto"/>
        <w:jc w:val="center"/>
        <w:rPr>
          <w:rFonts w:ascii="黑体" w:eastAsia="黑体" w:hAnsi="黑体"/>
        </w:rPr>
      </w:pPr>
      <w:r>
        <w:rPr>
          <w:rFonts w:ascii="黑体" w:eastAsia="黑体" w:hAnsi="黑体" w:hint="eastAsia"/>
        </w:rPr>
        <w:t>表4-13《山东省幼儿园办园条件标准》幼儿园标准Ⅲ类</w:t>
      </w:r>
    </w:p>
    <w:tbl>
      <w:tblPr>
        <w:tblW w:w="92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05"/>
        <w:gridCol w:w="1836"/>
        <w:gridCol w:w="2026"/>
        <w:gridCol w:w="2024"/>
        <w:gridCol w:w="1725"/>
      </w:tblGrid>
      <w:tr w:rsidR="00DA44CC">
        <w:trPr>
          <w:trHeight w:val="130"/>
        </w:trPr>
        <w:tc>
          <w:tcPr>
            <w:tcW w:w="1605" w:type="dxa"/>
            <w:vMerge w:val="restart"/>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学校规模</w:t>
            </w:r>
          </w:p>
        </w:tc>
        <w:tc>
          <w:tcPr>
            <w:tcW w:w="3862" w:type="dxa"/>
            <w:gridSpan w:val="2"/>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建设用地指标（m2）</w:t>
            </w:r>
          </w:p>
        </w:tc>
        <w:tc>
          <w:tcPr>
            <w:tcW w:w="3749" w:type="dxa"/>
            <w:gridSpan w:val="2"/>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建筑面积指标（</w:t>
            </w:r>
            <w:r>
              <w:rPr>
                <w:rFonts w:ascii="黑体" w:eastAsia="黑体" w:hAnsi="黑体"/>
                <w:sz w:val="18"/>
                <w:szCs w:val="18"/>
              </w:rPr>
              <w:t>m2</w:t>
            </w:r>
            <w:r>
              <w:rPr>
                <w:rFonts w:ascii="黑体" w:eastAsia="黑体" w:hAnsi="黑体" w:hint="eastAsia"/>
                <w:sz w:val="18"/>
                <w:szCs w:val="18"/>
              </w:rPr>
              <w:t>）</w:t>
            </w:r>
          </w:p>
        </w:tc>
      </w:tr>
      <w:tr w:rsidR="00DA44CC">
        <w:trPr>
          <w:trHeight w:val="89"/>
        </w:trPr>
        <w:tc>
          <w:tcPr>
            <w:tcW w:w="1605" w:type="dxa"/>
            <w:vMerge/>
            <w:shd w:val="clear" w:color="auto" w:fill="auto"/>
            <w:vAlign w:val="center"/>
          </w:tcPr>
          <w:p w:rsidR="00DA44CC" w:rsidRDefault="00DA44CC">
            <w:pPr>
              <w:adjustRightInd w:val="0"/>
              <w:snapToGrid w:val="0"/>
              <w:spacing w:line="240" w:lineRule="atLeast"/>
              <w:jc w:val="center"/>
              <w:rPr>
                <w:rFonts w:ascii="黑体" w:eastAsia="黑体" w:hAnsi="黑体"/>
                <w:sz w:val="18"/>
                <w:szCs w:val="18"/>
              </w:rPr>
            </w:pPr>
          </w:p>
        </w:tc>
        <w:tc>
          <w:tcPr>
            <w:tcW w:w="1836"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用地总面积</w:t>
            </w:r>
          </w:p>
        </w:tc>
        <w:tc>
          <w:tcPr>
            <w:tcW w:w="2026"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生均占地面积</w:t>
            </w:r>
          </w:p>
        </w:tc>
        <w:tc>
          <w:tcPr>
            <w:tcW w:w="2024"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建筑面积</w:t>
            </w:r>
          </w:p>
        </w:tc>
        <w:tc>
          <w:tcPr>
            <w:tcW w:w="1725"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生均指标</w:t>
            </w:r>
          </w:p>
        </w:tc>
      </w:tr>
      <w:tr w:rsidR="00DA44CC">
        <w:trPr>
          <w:trHeight w:val="330"/>
        </w:trPr>
        <w:tc>
          <w:tcPr>
            <w:tcW w:w="1605"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3班</w:t>
            </w:r>
          </w:p>
        </w:tc>
        <w:tc>
          <w:tcPr>
            <w:tcW w:w="1836"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1347- 1592</w:t>
            </w:r>
          </w:p>
        </w:tc>
        <w:tc>
          <w:tcPr>
            <w:tcW w:w="2026"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14.97-17.69</w:t>
            </w:r>
          </w:p>
        </w:tc>
        <w:tc>
          <w:tcPr>
            <w:tcW w:w="2024"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876</w:t>
            </w:r>
          </w:p>
        </w:tc>
        <w:tc>
          <w:tcPr>
            <w:tcW w:w="1725"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9.73</w:t>
            </w:r>
          </w:p>
        </w:tc>
      </w:tr>
      <w:tr w:rsidR="00DA44CC">
        <w:trPr>
          <w:trHeight w:val="330"/>
        </w:trPr>
        <w:tc>
          <w:tcPr>
            <w:tcW w:w="1605"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6班</w:t>
            </w:r>
          </w:p>
        </w:tc>
        <w:tc>
          <w:tcPr>
            <w:tcW w:w="1836"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2918- 3449</w:t>
            </w:r>
          </w:p>
        </w:tc>
        <w:tc>
          <w:tcPr>
            <w:tcW w:w="2026"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16.21-19.16</w:t>
            </w:r>
          </w:p>
        </w:tc>
        <w:tc>
          <w:tcPr>
            <w:tcW w:w="2024"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1897</w:t>
            </w:r>
          </w:p>
        </w:tc>
        <w:tc>
          <w:tcPr>
            <w:tcW w:w="1725"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10.54</w:t>
            </w:r>
          </w:p>
        </w:tc>
      </w:tr>
      <w:tr w:rsidR="00DA44CC">
        <w:trPr>
          <w:trHeight w:val="330"/>
        </w:trPr>
        <w:tc>
          <w:tcPr>
            <w:tcW w:w="1605"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9班</w:t>
            </w:r>
          </w:p>
        </w:tc>
        <w:tc>
          <w:tcPr>
            <w:tcW w:w="1836"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4885- 5773</w:t>
            </w:r>
          </w:p>
        </w:tc>
        <w:tc>
          <w:tcPr>
            <w:tcW w:w="2026"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18.09-21.38</w:t>
            </w:r>
          </w:p>
        </w:tc>
        <w:tc>
          <w:tcPr>
            <w:tcW w:w="2024"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3175</w:t>
            </w:r>
          </w:p>
        </w:tc>
        <w:tc>
          <w:tcPr>
            <w:tcW w:w="1725"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11.76</w:t>
            </w:r>
          </w:p>
        </w:tc>
      </w:tr>
      <w:tr w:rsidR="00DA44CC">
        <w:trPr>
          <w:trHeight w:val="330"/>
        </w:trPr>
        <w:tc>
          <w:tcPr>
            <w:tcW w:w="1605"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12班</w:t>
            </w:r>
          </w:p>
        </w:tc>
        <w:tc>
          <w:tcPr>
            <w:tcW w:w="1836"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6221- 7352</w:t>
            </w:r>
          </w:p>
        </w:tc>
        <w:tc>
          <w:tcPr>
            <w:tcW w:w="2026"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17.28-20.42</w:t>
            </w:r>
          </w:p>
        </w:tc>
        <w:tc>
          <w:tcPr>
            <w:tcW w:w="2024"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4043</w:t>
            </w:r>
          </w:p>
        </w:tc>
        <w:tc>
          <w:tcPr>
            <w:tcW w:w="1725"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11.23</w:t>
            </w:r>
          </w:p>
        </w:tc>
      </w:tr>
    </w:tbl>
    <w:p w:rsidR="00DA44CC" w:rsidRDefault="00C53A1B">
      <w:pPr>
        <w:spacing w:beforeLines="50" w:before="156" w:line="360" w:lineRule="auto"/>
        <w:jc w:val="center"/>
        <w:rPr>
          <w:rFonts w:ascii="黑体" w:eastAsia="黑体" w:hAnsi="黑体"/>
        </w:rPr>
      </w:pPr>
      <w:r>
        <w:rPr>
          <w:rFonts w:ascii="黑体" w:eastAsia="黑体" w:hAnsi="黑体" w:hint="eastAsia"/>
        </w:rPr>
        <w:t>表4-14《济宁市中小学校舍建设标准（试行）》</w:t>
      </w:r>
    </w:p>
    <w:tbl>
      <w:tblPr>
        <w:tblW w:w="92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93"/>
        <w:gridCol w:w="1683"/>
        <w:gridCol w:w="1530"/>
        <w:gridCol w:w="1740"/>
        <w:gridCol w:w="1535"/>
        <w:gridCol w:w="1535"/>
      </w:tblGrid>
      <w:tr w:rsidR="00DA44CC">
        <w:trPr>
          <w:trHeight w:val="243"/>
        </w:trPr>
        <w:tc>
          <w:tcPr>
            <w:tcW w:w="1193"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类别</w:t>
            </w:r>
          </w:p>
        </w:tc>
        <w:tc>
          <w:tcPr>
            <w:tcW w:w="1683"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学校规模</w:t>
            </w:r>
          </w:p>
        </w:tc>
        <w:tc>
          <w:tcPr>
            <w:tcW w:w="3270" w:type="dxa"/>
            <w:gridSpan w:val="2"/>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建设用地指标（</w:t>
            </w:r>
            <w:r>
              <w:rPr>
                <w:rFonts w:ascii="黑体" w:eastAsia="黑体" w:hAnsi="黑体"/>
                <w:sz w:val="18"/>
                <w:szCs w:val="18"/>
              </w:rPr>
              <w:t>m2</w:t>
            </w:r>
            <w:r>
              <w:rPr>
                <w:rFonts w:ascii="黑体" w:eastAsia="黑体" w:hAnsi="黑体" w:hint="eastAsia"/>
                <w:sz w:val="18"/>
                <w:szCs w:val="18"/>
              </w:rPr>
              <w:t>）</w:t>
            </w:r>
          </w:p>
        </w:tc>
        <w:tc>
          <w:tcPr>
            <w:tcW w:w="3070" w:type="dxa"/>
            <w:gridSpan w:val="2"/>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建筑面积指标</w:t>
            </w:r>
            <w:r>
              <w:rPr>
                <w:rFonts w:ascii="黑体" w:eastAsia="黑体" w:hAnsi="黑体"/>
                <w:sz w:val="18"/>
                <w:szCs w:val="18"/>
              </w:rPr>
              <w:t>(m2)</w:t>
            </w:r>
          </w:p>
        </w:tc>
      </w:tr>
      <w:tr w:rsidR="00DA44CC">
        <w:trPr>
          <w:trHeight w:val="272"/>
        </w:trPr>
        <w:tc>
          <w:tcPr>
            <w:tcW w:w="1193"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1683"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1530"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用地总面积</w:t>
            </w:r>
          </w:p>
        </w:tc>
        <w:tc>
          <w:tcPr>
            <w:tcW w:w="1740"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生均占地面积</w:t>
            </w:r>
          </w:p>
        </w:tc>
        <w:tc>
          <w:tcPr>
            <w:tcW w:w="153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建筑面积</w:t>
            </w:r>
          </w:p>
        </w:tc>
        <w:tc>
          <w:tcPr>
            <w:tcW w:w="153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生均指标</w:t>
            </w:r>
          </w:p>
        </w:tc>
      </w:tr>
      <w:tr w:rsidR="00DA44CC">
        <w:trPr>
          <w:trHeight w:val="315"/>
        </w:trPr>
        <w:tc>
          <w:tcPr>
            <w:tcW w:w="1193"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小学</w:t>
            </w: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5</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8549</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37.99</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2630</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11.69</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16256</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36.12</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5115</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11.37</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15</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20597</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30.51</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7047</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10.44</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28640</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31.82</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8922</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9.91</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25</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32273</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28.69</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10462</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9.3</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34671</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25.68</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11458</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8.49</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35</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38226</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24.27</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12840</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8.15</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47876</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26.6</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14170</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7.87</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45</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52136</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25.75</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16045</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7.92</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50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55437</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24.64</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17248</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7.67</w:t>
            </w:r>
          </w:p>
        </w:tc>
      </w:tr>
      <w:tr w:rsidR="00DA44CC">
        <w:trPr>
          <w:trHeight w:val="315"/>
        </w:trPr>
        <w:tc>
          <w:tcPr>
            <w:tcW w:w="1193"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初中</w:t>
            </w: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12</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20251</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33.75</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7575</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12.63</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16</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28591</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35.74</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9700</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12.13</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33407</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33.41</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11992</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11.99</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24</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36194</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30.16</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13187</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10.99</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28</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39444</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28.17</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14423</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10.3</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32</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42795</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26.75</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15782</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9.86</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36</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52430</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29.13</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17123</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9.51</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56238</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28.12</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18767</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9.38</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48</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63251</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26.35</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21822</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9.09</w:t>
            </w:r>
          </w:p>
        </w:tc>
      </w:tr>
      <w:tr w:rsidR="00DA44CC">
        <w:trPr>
          <w:trHeight w:val="315"/>
        </w:trPr>
        <w:tc>
          <w:tcPr>
            <w:tcW w:w="1193"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普通高中</w:t>
            </w: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24</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41020</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34.18</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15553</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12.96</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46370</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30.91</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17575</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11.72</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36</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59361</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32.98</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20328</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11.29</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48</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72308</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30.13</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25882</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10.78</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60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83487</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27.83</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30100</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10.03</w:t>
            </w:r>
          </w:p>
        </w:tc>
      </w:tr>
      <w:tr w:rsidR="00DA44CC">
        <w:trPr>
          <w:trHeight w:val="315"/>
        </w:trPr>
        <w:tc>
          <w:tcPr>
            <w:tcW w:w="1193"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普通高中（寄宿制）</w:t>
            </w: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24</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44620</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34.18</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15553</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12.96</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50870</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30.91</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17575</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11.72</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36</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64761</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32.98</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20328</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11.29</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48</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79508</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30.13</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25882</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10.78</w:t>
            </w:r>
          </w:p>
        </w:tc>
      </w:tr>
      <w:tr w:rsidR="00DA44CC">
        <w:trPr>
          <w:trHeight w:val="315"/>
        </w:trPr>
        <w:tc>
          <w:tcPr>
            <w:tcW w:w="1193" w:type="dxa"/>
            <w:vMerge/>
            <w:vAlign w:val="center"/>
          </w:tcPr>
          <w:p w:rsidR="00DA44CC" w:rsidRDefault="00DA44CC">
            <w:pPr>
              <w:adjustRightInd w:val="0"/>
              <w:snapToGrid w:val="0"/>
              <w:spacing w:line="240" w:lineRule="atLeast"/>
              <w:rPr>
                <w:rFonts w:ascii="黑体" w:eastAsia="黑体" w:hAnsi="黑体"/>
                <w:sz w:val="18"/>
                <w:szCs w:val="18"/>
              </w:rPr>
            </w:pPr>
          </w:p>
        </w:tc>
        <w:tc>
          <w:tcPr>
            <w:tcW w:w="168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60</w:t>
            </w:r>
            <w:r>
              <w:rPr>
                <w:rFonts w:ascii="黑体" w:eastAsia="黑体" w:hAnsi="黑体" w:hint="eastAsia"/>
                <w:sz w:val="18"/>
                <w:szCs w:val="18"/>
              </w:rPr>
              <w:t>班</w:t>
            </w:r>
          </w:p>
        </w:tc>
        <w:tc>
          <w:tcPr>
            <w:tcW w:w="153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92487</w:t>
            </w:r>
          </w:p>
        </w:tc>
        <w:tc>
          <w:tcPr>
            <w:tcW w:w="174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27.83</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30100</w:t>
            </w:r>
          </w:p>
        </w:tc>
        <w:tc>
          <w:tcPr>
            <w:tcW w:w="1535"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10.03</w:t>
            </w:r>
          </w:p>
        </w:tc>
      </w:tr>
    </w:tbl>
    <w:p w:rsidR="00DA44CC" w:rsidRDefault="00C53A1B">
      <w:pPr>
        <w:adjustRightInd w:val="0"/>
        <w:snapToGrid w:val="0"/>
        <w:rPr>
          <w:rFonts w:ascii="黑体" w:eastAsia="黑体" w:hAnsi="黑体"/>
          <w:sz w:val="18"/>
          <w:szCs w:val="18"/>
        </w:rPr>
      </w:pPr>
      <w:r>
        <w:rPr>
          <w:rFonts w:ascii="黑体" w:eastAsia="黑体" w:hAnsi="黑体" w:hint="eastAsia"/>
          <w:sz w:val="18"/>
          <w:szCs w:val="18"/>
        </w:rPr>
        <w:t>注：用地紧张区域新建高中用地标准按普通高中标准执行，其他地区按普通高中标准寄宿制执行，若其他地区考虑现状用地各类状况，不能满足寄宿制高中用地需求，则可以按非寄宿制的普通高中标准执行。</w:t>
      </w:r>
    </w:p>
    <w:p w:rsidR="00DA44CC" w:rsidRDefault="00C53A1B">
      <w:pPr>
        <w:spacing w:beforeLines="50" w:before="156" w:line="360" w:lineRule="auto"/>
        <w:jc w:val="center"/>
        <w:rPr>
          <w:rFonts w:ascii="黑体" w:eastAsia="黑体" w:hAnsi="黑体"/>
        </w:rPr>
      </w:pPr>
      <w:r>
        <w:rPr>
          <w:rFonts w:ascii="黑体" w:eastAsia="黑体" w:hAnsi="黑体" w:hint="eastAsia"/>
        </w:rPr>
        <w:t>表4-15《山东省幼儿园办园条件标准》幼儿园标准Ⅰ类</w:t>
      </w:r>
    </w:p>
    <w:tbl>
      <w:tblPr>
        <w:tblW w:w="92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05"/>
        <w:gridCol w:w="1836"/>
        <w:gridCol w:w="2026"/>
        <w:gridCol w:w="2024"/>
        <w:gridCol w:w="1725"/>
      </w:tblGrid>
      <w:tr w:rsidR="00DA44CC">
        <w:trPr>
          <w:trHeight w:val="370"/>
        </w:trPr>
        <w:tc>
          <w:tcPr>
            <w:tcW w:w="1605" w:type="dxa"/>
            <w:vMerge w:val="restart"/>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学校规模</w:t>
            </w:r>
          </w:p>
        </w:tc>
        <w:tc>
          <w:tcPr>
            <w:tcW w:w="3862" w:type="dxa"/>
            <w:gridSpan w:val="2"/>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建设用地指标（m2）</w:t>
            </w:r>
          </w:p>
        </w:tc>
        <w:tc>
          <w:tcPr>
            <w:tcW w:w="3749" w:type="dxa"/>
            <w:gridSpan w:val="2"/>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建筑面积指标（</w:t>
            </w:r>
            <w:r>
              <w:rPr>
                <w:rFonts w:ascii="黑体" w:eastAsia="黑体" w:hAnsi="黑体"/>
                <w:sz w:val="18"/>
                <w:szCs w:val="18"/>
              </w:rPr>
              <w:t>m2</w:t>
            </w:r>
            <w:r>
              <w:rPr>
                <w:rFonts w:ascii="黑体" w:eastAsia="黑体" w:hAnsi="黑体" w:hint="eastAsia"/>
                <w:sz w:val="18"/>
                <w:szCs w:val="18"/>
              </w:rPr>
              <w:t>）</w:t>
            </w:r>
          </w:p>
        </w:tc>
      </w:tr>
      <w:tr w:rsidR="00DA44CC">
        <w:trPr>
          <w:trHeight w:val="411"/>
        </w:trPr>
        <w:tc>
          <w:tcPr>
            <w:tcW w:w="1605" w:type="dxa"/>
            <w:vMerge/>
            <w:shd w:val="clear" w:color="auto" w:fill="auto"/>
            <w:vAlign w:val="center"/>
          </w:tcPr>
          <w:p w:rsidR="00DA44CC" w:rsidRDefault="00DA44CC">
            <w:pPr>
              <w:adjustRightInd w:val="0"/>
              <w:snapToGrid w:val="0"/>
              <w:spacing w:line="240" w:lineRule="atLeast"/>
              <w:jc w:val="center"/>
              <w:rPr>
                <w:rFonts w:ascii="黑体" w:eastAsia="黑体" w:hAnsi="黑体"/>
                <w:sz w:val="18"/>
                <w:szCs w:val="18"/>
              </w:rPr>
            </w:pPr>
          </w:p>
        </w:tc>
        <w:tc>
          <w:tcPr>
            <w:tcW w:w="1836"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用地总面积</w:t>
            </w:r>
          </w:p>
        </w:tc>
        <w:tc>
          <w:tcPr>
            <w:tcW w:w="2026"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生均占地面积</w:t>
            </w:r>
          </w:p>
        </w:tc>
        <w:tc>
          <w:tcPr>
            <w:tcW w:w="2024"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建筑面积</w:t>
            </w:r>
          </w:p>
        </w:tc>
        <w:tc>
          <w:tcPr>
            <w:tcW w:w="1725"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生均指标</w:t>
            </w:r>
          </w:p>
        </w:tc>
      </w:tr>
      <w:tr w:rsidR="00DA44CC">
        <w:trPr>
          <w:trHeight w:val="374"/>
        </w:trPr>
        <w:tc>
          <w:tcPr>
            <w:tcW w:w="1605"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6班</w:t>
            </w:r>
          </w:p>
        </w:tc>
        <w:tc>
          <w:tcPr>
            <w:tcW w:w="1836"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4684- 5536</w:t>
            </w:r>
          </w:p>
        </w:tc>
        <w:tc>
          <w:tcPr>
            <w:tcW w:w="2026"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26.03-30.76</w:t>
            </w:r>
          </w:p>
        </w:tc>
        <w:tc>
          <w:tcPr>
            <w:tcW w:w="2024"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3045</w:t>
            </w:r>
          </w:p>
        </w:tc>
        <w:tc>
          <w:tcPr>
            <w:tcW w:w="1725"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16.92</w:t>
            </w:r>
          </w:p>
        </w:tc>
      </w:tr>
      <w:tr w:rsidR="00DA44CC">
        <w:trPr>
          <w:trHeight w:val="366"/>
        </w:trPr>
        <w:tc>
          <w:tcPr>
            <w:tcW w:w="1605"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9班</w:t>
            </w:r>
          </w:p>
        </w:tc>
        <w:tc>
          <w:tcPr>
            <w:tcW w:w="1836"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6713- 7933</w:t>
            </w:r>
          </w:p>
        </w:tc>
        <w:tc>
          <w:tcPr>
            <w:tcW w:w="2026"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24.86-29.38</w:t>
            </w:r>
          </w:p>
        </w:tc>
        <w:tc>
          <w:tcPr>
            <w:tcW w:w="2024"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4363</w:t>
            </w:r>
          </w:p>
        </w:tc>
        <w:tc>
          <w:tcPr>
            <w:tcW w:w="1725"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16.16</w:t>
            </w:r>
          </w:p>
        </w:tc>
      </w:tr>
      <w:tr w:rsidR="00DA44CC">
        <w:trPr>
          <w:trHeight w:val="342"/>
        </w:trPr>
        <w:tc>
          <w:tcPr>
            <w:tcW w:w="1605"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12班</w:t>
            </w:r>
          </w:p>
        </w:tc>
        <w:tc>
          <w:tcPr>
            <w:tcW w:w="1836"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8536- 10088</w:t>
            </w:r>
          </w:p>
        </w:tc>
        <w:tc>
          <w:tcPr>
            <w:tcW w:w="2026"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23.71-28.02</w:t>
            </w:r>
          </w:p>
        </w:tc>
        <w:tc>
          <w:tcPr>
            <w:tcW w:w="2024"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5548</w:t>
            </w:r>
          </w:p>
        </w:tc>
        <w:tc>
          <w:tcPr>
            <w:tcW w:w="1725"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15.41</w:t>
            </w:r>
          </w:p>
        </w:tc>
      </w:tr>
    </w:tbl>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第三十六条  其他规定要求</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1.学校绿地率应为35%以上，其中集中绿地率为10%以上。集中绿地中学每生不宜低于4</w:t>
      </w:r>
      <w:r>
        <w:rPr>
          <w:rFonts w:ascii="Arial Unicode MS" w:eastAsia="Arial Unicode MS" w:hAnsi="Arial Unicode MS" w:cs="Arial Unicode MS" w:hint="eastAsia"/>
          <w:color w:val="000000"/>
          <w:sz w:val="32"/>
          <w:szCs w:val="32"/>
        </w:rPr>
        <w:t>㎡</w:t>
      </w:r>
      <w:r>
        <w:rPr>
          <w:rFonts w:ascii="方正仿宋简体" w:eastAsia="方正仿宋简体" w:hAnsi="方正仿宋简体" w:cs="方正仿宋简体" w:hint="eastAsia"/>
          <w:color w:val="000000"/>
          <w:sz w:val="32"/>
          <w:szCs w:val="32"/>
        </w:rPr>
        <w:t>；小学每生不宜低于</w:t>
      </w:r>
      <w:r>
        <w:rPr>
          <w:rFonts w:ascii="方正仿宋简体" w:eastAsia="方正仿宋简体" w:hAnsi="宋体" w:cs="仿宋_GB2312" w:hint="eastAsia"/>
          <w:color w:val="000000"/>
          <w:sz w:val="32"/>
          <w:szCs w:val="32"/>
        </w:rPr>
        <w:t>3</w:t>
      </w:r>
      <w:r>
        <w:rPr>
          <w:rFonts w:ascii="Arial Unicode MS" w:eastAsia="Arial Unicode MS" w:hAnsi="Arial Unicode MS" w:cs="Arial Unicode MS" w:hint="eastAsia"/>
          <w:color w:val="000000"/>
          <w:sz w:val="32"/>
          <w:szCs w:val="32"/>
        </w:rPr>
        <w:t>㎡</w:t>
      </w:r>
      <w:r>
        <w:rPr>
          <w:rFonts w:ascii="方正仿宋简体" w:eastAsia="方正仿宋简体" w:hAnsi="方正仿宋简体" w:cs="方正仿宋简体" w:hint="eastAsia"/>
          <w:color w:val="000000"/>
          <w:sz w:val="32"/>
          <w:szCs w:val="32"/>
        </w:rPr>
        <w:t>；城市中心城区学校集中绿地中学每生不宜低于</w:t>
      </w:r>
      <w:r>
        <w:rPr>
          <w:rFonts w:ascii="方正仿宋简体" w:eastAsia="方正仿宋简体" w:hAnsi="宋体" w:cs="仿宋_GB2312" w:hint="eastAsia"/>
          <w:color w:val="000000"/>
          <w:sz w:val="32"/>
          <w:szCs w:val="32"/>
        </w:rPr>
        <w:t>3</w:t>
      </w:r>
      <w:r>
        <w:rPr>
          <w:rFonts w:ascii="Arial Unicode MS" w:eastAsia="Arial Unicode MS" w:hAnsi="Arial Unicode MS" w:cs="Arial Unicode MS" w:hint="eastAsia"/>
          <w:color w:val="000000"/>
          <w:sz w:val="32"/>
          <w:szCs w:val="32"/>
        </w:rPr>
        <w:t>㎡</w:t>
      </w:r>
      <w:r>
        <w:rPr>
          <w:rFonts w:ascii="方正仿宋简体" w:eastAsia="方正仿宋简体" w:hAnsi="方正仿宋简体" w:cs="方正仿宋简体" w:hint="eastAsia"/>
          <w:color w:val="000000"/>
          <w:sz w:val="32"/>
          <w:szCs w:val="32"/>
        </w:rPr>
        <w:t>；小学每生不宜低</w:t>
      </w:r>
      <w:r>
        <w:rPr>
          <w:rFonts w:ascii="方正仿宋简体" w:eastAsia="方正仿宋简体" w:hAnsi="方正仿宋简体" w:cs="方正仿宋简体" w:hint="eastAsia"/>
          <w:color w:val="000000"/>
          <w:sz w:val="32"/>
          <w:szCs w:val="32"/>
        </w:rPr>
        <w:lastRenderedPageBreak/>
        <w:t>于</w:t>
      </w:r>
      <w:r>
        <w:rPr>
          <w:rFonts w:ascii="方正仿宋简体" w:eastAsia="方正仿宋简体" w:hAnsi="宋体" w:cs="仿宋_GB2312" w:hint="eastAsia"/>
          <w:color w:val="000000"/>
          <w:sz w:val="32"/>
          <w:szCs w:val="32"/>
        </w:rPr>
        <w:t>2</w:t>
      </w:r>
      <w:r>
        <w:rPr>
          <w:rFonts w:ascii="Arial Unicode MS" w:eastAsia="Arial Unicode MS" w:hAnsi="Arial Unicode MS" w:cs="Arial Unicode MS" w:hint="eastAsia"/>
          <w:color w:val="000000"/>
          <w:sz w:val="32"/>
          <w:szCs w:val="32"/>
        </w:rPr>
        <w:t>㎡</w:t>
      </w:r>
      <w:r>
        <w:rPr>
          <w:rFonts w:ascii="方正仿宋简体" w:eastAsia="方正仿宋简体" w:hAnsi="方正仿宋简体" w:cs="方正仿宋简体" w:hint="eastAsia"/>
          <w:color w:val="000000"/>
          <w:sz w:val="32"/>
          <w:szCs w:val="32"/>
        </w:rPr>
        <w:t>。</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2.寄宿制学校寄宿生生活用房使用面积：学生浴室0.2</w:t>
      </w:r>
      <w:r>
        <w:rPr>
          <w:rFonts w:ascii="Arial Unicode MS" w:eastAsia="Arial Unicode MS" w:hAnsi="Arial Unicode MS" w:cs="Arial Unicode MS" w:hint="eastAsia"/>
          <w:color w:val="000000"/>
          <w:sz w:val="32"/>
          <w:szCs w:val="32"/>
        </w:rPr>
        <w:t>㎡</w:t>
      </w:r>
      <w:r>
        <w:rPr>
          <w:rFonts w:ascii="方正仿宋简体" w:eastAsia="方正仿宋简体" w:hAnsi="宋体" w:cs="仿宋_GB2312" w:hint="eastAsia"/>
          <w:color w:val="000000"/>
          <w:sz w:val="32"/>
          <w:szCs w:val="32"/>
        </w:rPr>
        <w:t>/寄宿生；学生（含教工）厨房餐厅1.3</w:t>
      </w:r>
      <w:r>
        <w:rPr>
          <w:rFonts w:ascii="Arial Unicode MS" w:eastAsia="Arial Unicode MS" w:hAnsi="Arial Unicode MS" w:cs="Arial Unicode MS" w:hint="eastAsia"/>
          <w:color w:val="000000"/>
          <w:sz w:val="32"/>
          <w:szCs w:val="32"/>
        </w:rPr>
        <w:t>㎡</w:t>
      </w:r>
      <w:r>
        <w:rPr>
          <w:rFonts w:ascii="方正仿宋简体" w:eastAsia="方正仿宋简体" w:hAnsi="宋体" w:cs="仿宋_GB2312" w:hint="eastAsia"/>
          <w:color w:val="000000"/>
          <w:sz w:val="32"/>
          <w:szCs w:val="32"/>
        </w:rPr>
        <w:t>/寄宿生；小学生宿舍居室3.0</w:t>
      </w:r>
      <w:r>
        <w:rPr>
          <w:rFonts w:ascii="Arial Unicode MS" w:eastAsia="Arial Unicode MS" w:hAnsi="Arial Unicode MS" w:cs="Arial Unicode MS" w:hint="eastAsia"/>
          <w:color w:val="000000"/>
          <w:sz w:val="32"/>
          <w:szCs w:val="32"/>
        </w:rPr>
        <w:t>㎡</w:t>
      </w:r>
      <w:r>
        <w:rPr>
          <w:rFonts w:ascii="方正仿宋简体" w:eastAsia="方正仿宋简体" w:hAnsi="宋体" w:cs="仿宋_GB2312" w:hint="eastAsia"/>
          <w:color w:val="000000"/>
          <w:sz w:val="32"/>
          <w:szCs w:val="32"/>
        </w:rPr>
        <w:t>/寄宿生，中学生宿舍居室3.3</w:t>
      </w:r>
      <w:r>
        <w:rPr>
          <w:rFonts w:ascii="Arial Unicode MS" w:eastAsia="Arial Unicode MS" w:hAnsi="Arial Unicode MS" w:cs="Arial Unicode MS" w:hint="eastAsia"/>
          <w:color w:val="000000"/>
          <w:sz w:val="32"/>
          <w:szCs w:val="32"/>
        </w:rPr>
        <w:t>㎡</w:t>
      </w:r>
      <w:r>
        <w:rPr>
          <w:rFonts w:ascii="方正仿宋简体" w:eastAsia="方正仿宋简体" w:hAnsi="宋体" w:cs="仿宋_GB2312" w:hint="eastAsia"/>
          <w:color w:val="000000"/>
          <w:sz w:val="32"/>
          <w:szCs w:val="32"/>
        </w:rPr>
        <w:t>/寄宿生；寄宿生卫生间、盥洗室等使用面积依据其布置形式及实际需要确定。寄宿制学校寄宿生生活用地，按寄宿生生活用房建筑面积按容积率0.8测算。</w:t>
      </w:r>
    </w:p>
    <w:p w:rsidR="00DA44CC" w:rsidRDefault="00DA44CC">
      <w:pPr>
        <w:adjustRightInd w:val="0"/>
        <w:snapToGrid w:val="0"/>
        <w:spacing w:line="600" w:lineRule="exact"/>
        <w:jc w:val="center"/>
        <w:rPr>
          <w:rFonts w:ascii="方正黑体简体" w:eastAsia="方正黑体简体" w:hAnsi="宋体" w:cs="黑体"/>
          <w:color w:val="000000"/>
          <w:sz w:val="32"/>
          <w:szCs w:val="32"/>
        </w:rPr>
      </w:pPr>
    </w:p>
    <w:p w:rsidR="00DA44CC" w:rsidRDefault="00C53A1B">
      <w:pPr>
        <w:adjustRightInd w:val="0"/>
        <w:snapToGrid w:val="0"/>
        <w:spacing w:line="60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第五章  绿地控制</w:t>
      </w:r>
    </w:p>
    <w:p w:rsidR="00DA44CC" w:rsidRDefault="00DA44CC">
      <w:pPr>
        <w:adjustRightInd w:val="0"/>
        <w:snapToGrid w:val="0"/>
        <w:spacing w:line="600" w:lineRule="exact"/>
        <w:jc w:val="center"/>
        <w:rPr>
          <w:rFonts w:ascii="方正黑体简体" w:eastAsia="方正黑体简体" w:hAnsi="宋体" w:cs="黑体"/>
          <w:color w:val="000000"/>
          <w:sz w:val="32"/>
          <w:szCs w:val="32"/>
        </w:rPr>
      </w:pPr>
    </w:p>
    <w:p w:rsidR="00DA44CC" w:rsidRDefault="00C53A1B">
      <w:pPr>
        <w:adjustRightInd w:val="0"/>
        <w:snapToGrid w:val="0"/>
        <w:spacing w:line="60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第一节  一般规定</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第三十七条   基本要求</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1.落实上位规划和绿地专项规划提出的各类用地绿地及管控指标要求，充分利用自然资源，保护生态廊道，完善绿地系统，保证城市绿地总量和整体水平的提高。</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2.修建性详细规划以及项目建设均不应减少、侵占控规确定的绿地总量和绿地系统的完整性。各类绿地确需调整必须按照以下要求：</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（1）城市主要景观河道：不得压缩划定的绿带宽度，加强与周边绿地的生态链接。</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（2）城市公园：用地边界原则上不得调整。</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（3）沿河、沿路等带状绿地：不得阻断与周边用地的联系，</w:t>
      </w:r>
      <w:r>
        <w:rPr>
          <w:rFonts w:ascii="方正仿宋简体" w:eastAsia="方正仿宋简体" w:hAnsi="宋体" w:cs="仿宋_GB2312" w:hint="eastAsia"/>
          <w:color w:val="000000"/>
          <w:sz w:val="32"/>
          <w:szCs w:val="32"/>
        </w:rPr>
        <w:lastRenderedPageBreak/>
        <w:t>保证绿地的连通性。</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（4）街头绿地：位置原则上不得调整，确需调整的必须保证面积不减少和与周边绿地的连通性，鼓励改善街头绿地与周边绿地连通性的规划、建设行为。</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（5）各类绿地边界调整，其用地规模在满足占补平衡并符合半径、环境保护等有关技术要求，还应保障绿地实施等级不降低、实施难度不增加。</w:t>
      </w:r>
    </w:p>
    <w:p w:rsidR="00DA44CC" w:rsidRDefault="00DA44CC">
      <w:pPr>
        <w:adjustRightInd w:val="0"/>
        <w:snapToGrid w:val="0"/>
        <w:spacing w:line="600" w:lineRule="exact"/>
        <w:ind w:firstLineChars="200" w:firstLine="640"/>
        <w:rPr>
          <w:rFonts w:ascii="方正仿宋简体" w:eastAsia="方正仿宋简体" w:hAnsi="宋体" w:cs="仿宋_GB2312"/>
          <w:color w:val="000000"/>
          <w:sz w:val="32"/>
          <w:szCs w:val="32"/>
        </w:rPr>
      </w:pPr>
    </w:p>
    <w:p w:rsidR="00DA44CC" w:rsidRDefault="00C53A1B">
      <w:pPr>
        <w:adjustRightInd w:val="0"/>
        <w:snapToGrid w:val="0"/>
        <w:spacing w:line="60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第二节  公园绿地</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第三十八条  绿地等级分类</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城市公园绿地按照“城市公园（市、区级综合公园，专类公园）、社区公园和游园”三级体系进行控制，并分级评估服务半径覆盖标准，以满足差异化的游憩需求。在新建地区，人均社区及以下级公共绿地面积不得低于4平方米。在建成区，应结合城市更新，增加公共绿地，并鼓励保留地块内的附属绿地向公众开放。各级公园绿地的服务半径和用地面积详见表5-1。</w:t>
      </w:r>
    </w:p>
    <w:p w:rsidR="00DA44CC" w:rsidRDefault="00C53A1B">
      <w:pPr>
        <w:spacing w:line="360" w:lineRule="auto"/>
        <w:jc w:val="center"/>
        <w:rPr>
          <w:rFonts w:ascii="黑体" w:eastAsia="黑体" w:hAnsi="黑体"/>
        </w:rPr>
      </w:pPr>
      <w:r>
        <w:rPr>
          <w:rFonts w:ascii="黑体" w:eastAsia="黑体" w:hAnsi="黑体" w:hint="eastAsia"/>
        </w:rPr>
        <w:t>表5-1三级公园绿地分类与控制要求</w:t>
      </w:r>
    </w:p>
    <w:tbl>
      <w:tblPr>
        <w:tblW w:w="92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96"/>
        <w:gridCol w:w="486"/>
        <w:gridCol w:w="1063"/>
        <w:gridCol w:w="1132"/>
        <w:gridCol w:w="3050"/>
        <w:gridCol w:w="1827"/>
        <w:gridCol w:w="1262"/>
      </w:tblGrid>
      <w:tr w:rsidR="00DA44CC">
        <w:trPr>
          <w:trHeight w:val="295"/>
          <w:jc w:val="center"/>
        </w:trPr>
        <w:tc>
          <w:tcPr>
            <w:tcW w:w="882" w:type="dxa"/>
            <w:gridSpan w:val="2"/>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序号</w:t>
            </w:r>
          </w:p>
        </w:tc>
        <w:tc>
          <w:tcPr>
            <w:tcW w:w="1063"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类别名称</w:t>
            </w:r>
          </w:p>
        </w:tc>
        <w:tc>
          <w:tcPr>
            <w:tcW w:w="113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主要服务对象</w:t>
            </w:r>
          </w:p>
        </w:tc>
        <w:tc>
          <w:tcPr>
            <w:tcW w:w="3050"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内容</w:t>
            </w:r>
          </w:p>
        </w:tc>
        <w:tc>
          <w:tcPr>
            <w:tcW w:w="1827"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适宜规模</w:t>
            </w:r>
          </w:p>
        </w:tc>
        <w:tc>
          <w:tcPr>
            <w:tcW w:w="126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服务半径</w:t>
            </w:r>
          </w:p>
        </w:tc>
      </w:tr>
      <w:tr w:rsidR="00DA44CC">
        <w:trPr>
          <w:jc w:val="center"/>
        </w:trPr>
        <w:tc>
          <w:tcPr>
            <w:tcW w:w="882" w:type="dxa"/>
            <w:gridSpan w:val="2"/>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G1</w:t>
            </w:r>
          </w:p>
        </w:tc>
        <w:tc>
          <w:tcPr>
            <w:tcW w:w="106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公园绿地</w:t>
            </w:r>
          </w:p>
        </w:tc>
        <w:tc>
          <w:tcPr>
            <w:tcW w:w="11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p>
        </w:tc>
        <w:tc>
          <w:tcPr>
            <w:tcW w:w="3050"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p>
        </w:tc>
        <w:tc>
          <w:tcPr>
            <w:tcW w:w="182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p>
        </w:tc>
        <w:tc>
          <w:tcPr>
            <w:tcW w:w="126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p>
        </w:tc>
      </w:tr>
      <w:tr w:rsidR="00DA44CC">
        <w:trPr>
          <w:jc w:val="center"/>
        </w:trPr>
        <w:tc>
          <w:tcPr>
            <w:tcW w:w="396" w:type="dxa"/>
            <w:vMerge w:val="restart"/>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其中</w:t>
            </w:r>
          </w:p>
        </w:tc>
        <w:tc>
          <w:tcPr>
            <w:tcW w:w="48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G11</w:t>
            </w:r>
          </w:p>
        </w:tc>
        <w:tc>
          <w:tcPr>
            <w:tcW w:w="106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综合公园</w:t>
            </w:r>
          </w:p>
        </w:tc>
        <w:tc>
          <w:tcPr>
            <w:tcW w:w="11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城市居民</w:t>
            </w:r>
          </w:p>
        </w:tc>
        <w:tc>
          <w:tcPr>
            <w:tcW w:w="3050"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sz w:val="18"/>
                <w:szCs w:val="18"/>
              </w:rPr>
              <w:t>主要是区级以上综合公园</w:t>
            </w:r>
          </w:p>
        </w:tc>
        <w:tc>
          <w:tcPr>
            <w:tcW w:w="182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规模宜大于10</w:t>
            </w:r>
            <w:r>
              <w:rPr>
                <w:rFonts w:ascii="黑体" w:eastAsia="黑体" w:hAnsi="黑体"/>
                <w:sz w:val="18"/>
                <w:szCs w:val="18"/>
              </w:rPr>
              <w:t xml:space="preserve"> hm</w:t>
            </w:r>
            <w:r>
              <w:rPr>
                <w:rFonts w:ascii="黑体" w:eastAsia="黑体" w:hAnsi="黑体" w:hint="eastAsia"/>
                <w:sz w:val="18"/>
                <w:szCs w:val="18"/>
              </w:rPr>
              <w:t>²</w:t>
            </w:r>
          </w:p>
        </w:tc>
        <w:tc>
          <w:tcPr>
            <w:tcW w:w="126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1000m及以上</w:t>
            </w:r>
          </w:p>
        </w:tc>
      </w:tr>
      <w:tr w:rsidR="00DA44CC">
        <w:trPr>
          <w:jc w:val="center"/>
        </w:trPr>
        <w:tc>
          <w:tcPr>
            <w:tcW w:w="396" w:type="dxa"/>
            <w:vMerge/>
            <w:vAlign w:val="center"/>
          </w:tcPr>
          <w:p w:rsidR="00DA44CC" w:rsidRDefault="00DA44CC">
            <w:pPr>
              <w:adjustRightInd w:val="0"/>
              <w:snapToGrid w:val="0"/>
              <w:spacing w:line="240" w:lineRule="atLeast"/>
              <w:rPr>
                <w:rFonts w:ascii="黑体" w:eastAsia="黑体" w:hAnsi="黑体"/>
                <w:sz w:val="18"/>
                <w:szCs w:val="18"/>
              </w:rPr>
            </w:pPr>
          </w:p>
        </w:tc>
        <w:tc>
          <w:tcPr>
            <w:tcW w:w="48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G12</w:t>
            </w:r>
          </w:p>
        </w:tc>
        <w:tc>
          <w:tcPr>
            <w:tcW w:w="106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社区公园</w:t>
            </w:r>
          </w:p>
        </w:tc>
        <w:tc>
          <w:tcPr>
            <w:tcW w:w="11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居住区居民</w:t>
            </w:r>
          </w:p>
        </w:tc>
        <w:tc>
          <w:tcPr>
            <w:tcW w:w="3050"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sz w:val="18"/>
                <w:szCs w:val="18"/>
              </w:rPr>
              <w:t>主要是</w:t>
            </w:r>
            <w:r>
              <w:rPr>
                <w:rFonts w:ascii="黑体" w:eastAsia="黑体" w:hAnsi="黑体" w:hint="eastAsia"/>
                <w:sz w:val="18"/>
                <w:szCs w:val="18"/>
              </w:rPr>
              <w:t>十五</w:t>
            </w:r>
            <w:r>
              <w:rPr>
                <w:rFonts w:ascii="黑体" w:eastAsia="黑体" w:hAnsi="黑体"/>
                <w:sz w:val="18"/>
                <w:szCs w:val="18"/>
              </w:rPr>
              <w:t>分钟生活圈</w:t>
            </w:r>
            <w:r>
              <w:rPr>
                <w:rFonts w:ascii="黑体" w:eastAsia="黑体" w:hAnsi="黑体" w:hint="eastAsia"/>
                <w:sz w:val="18"/>
                <w:szCs w:val="18"/>
              </w:rPr>
              <w:t>居住区</w:t>
            </w:r>
            <w:r>
              <w:rPr>
                <w:rFonts w:ascii="黑体" w:eastAsia="黑体" w:hAnsi="黑体"/>
                <w:sz w:val="18"/>
                <w:szCs w:val="18"/>
              </w:rPr>
              <w:t>绿地和十分钟生活圈</w:t>
            </w:r>
            <w:r>
              <w:rPr>
                <w:rFonts w:ascii="黑体" w:eastAsia="黑体" w:hAnsi="黑体" w:hint="eastAsia"/>
                <w:sz w:val="18"/>
                <w:szCs w:val="18"/>
              </w:rPr>
              <w:t>居住区</w:t>
            </w:r>
            <w:r>
              <w:rPr>
                <w:rFonts w:ascii="黑体" w:eastAsia="黑体" w:hAnsi="黑体"/>
                <w:sz w:val="18"/>
                <w:szCs w:val="18"/>
              </w:rPr>
              <w:t>绿地</w:t>
            </w:r>
          </w:p>
        </w:tc>
        <w:tc>
          <w:tcPr>
            <w:tcW w:w="182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规模宜大于1</w:t>
            </w:r>
            <w:r>
              <w:rPr>
                <w:rFonts w:ascii="黑体" w:eastAsia="黑体" w:hAnsi="黑体"/>
                <w:sz w:val="18"/>
                <w:szCs w:val="18"/>
              </w:rPr>
              <w:t xml:space="preserve"> hm</w:t>
            </w:r>
            <w:r>
              <w:rPr>
                <w:rFonts w:ascii="黑体" w:eastAsia="黑体" w:hAnsi="黑体" w:hint="eastAsia"/>
                <w:sz w:val="18"/>
                <w:szCs w:val="18"/>
              </w:rPr>
              <w:t>²</w:t>
            </w:r>
          </w:p>
        </w:tc>
        <w:tc>
          <w:tcPr>
            <w:tcW w:w="126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500—1000m</w:t>
            </w:r>
          </w:p>
        </w:tc>
      </w:tr>
      <w:tr w:rsidR="00DA44CC">
        <w:trPr>
          <w:jc w:val="center"/>
        </w:trPr>
        <w:tc>
          <w:tcPr>
            <w:tcW w:w="396" w:type="dxa"/>
            <w:vMerge/>
            <w:vAlign w:val="center"/>
          </w:tcPr>
          <w:p w:rsidR="00DA44CC" w:rsidRDefault="00DA44CC">
            <w:pPr>
              <w:adjustRightInd w:val="0"/>
              <w:snapToGrid w:val="0"/>
              <w:spacing w:line="240" w:lineRule="atLeast"/>
              <w:rPr>
                <w:rFonts w:ascii="黑体" w:eastAsia="黑体" w:hAnsi="黑体"/>
                <w:sz w:val="18"/>
                <w:szCs w:val="18"/>
              </w:rPr>
            </w:pPr>
          </w:p>
        </w:tc>
        <w:tc>
          <w:tcPr>
            <w:tcW w:w="48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G13</w:t>
            </w:r>
          </w:p>
        </w:tc>
        <w:tc>
          <w:tcPr>
            <w:tcW w:w="106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专类公园</w:t>
            </w:r>
          </w:p>
        </w:tc>
        <w:tc>
          <w:tcPr>
            <w:tcW w:w="11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居住区居民</w:t>
            </w:r>
          </w:p>
        </w:tc>
        <w:tc>
          <w:tcPr>
            <w:tcW w:w="3050"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具有特定内容与形式，有相应的游憩和服务设施的绿地</w:t>
            </w:r>
          </w:p>
        </w:tc>
        <w:tc>
          <w:tcPr>
            <w:tcW w:w="182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p>
        </w:tc>
        <w:tc>
          <w:tcPr>
            <w:tcW w:w="126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w:t>
            </w:r>
          </w:p>
        </w:tc>
      </w:tr>
      <w:tr w:rsidR="00DA44CC">
        <w:trPr>
          <w:jc w:val="center"/>
        </w:trPr>
        <w:tc>
          <w:tcPr>
            <w:tcW w:w="396" w:type="dxa"/>
            <w:vMerge/>
            <w:vAlign w:val="center"/>
          </w:tcPr>
          <w:p w:rsidR="00DA44CC" w:rsidRDefault="00DA44CC">
            <w:pPr>
              <w:adjustRightInd w:val="0"/>
              <w:snapToGrid w:val="0"/>
              <w:spacing w:line="240" w:lineRule="atLeast"/>
              <w:rPr>
                <w:rFonts w:ascii="黑体" w:eastAsia="黑体" w:hAnsi="黑体"/>
                <w:sz w:val="18"/>
                <w:szCs w:val="18"/>
              </w:rPr>
            </w:pPr>
          </w:p>
        </w:tc>
        <w:tc>
          <w:tcPr>
            <w:tcW w:w="486"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G14</w:t>
            </w:r>
          </w:p>
        </w:tc>
        <w:tc>
          <w:tcPr>
            <w:tcW w:w="1063"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sz w:val="18"/>
                <w:szCs w:val="18"/>
              </w:rPr>
              <w:t>游园</w:t>
            </w:r>
          </w:p>
        </w:tc>
        <w:tc>
          <w:tcPr>
            <w:tcW w:w="113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居住小区居民</w:t>
            </w:r>
          </w:p>
        </w:tc>
        <w:tc>
          <w:tcPr>
            <w:tcW w:w="3050" w:type="dxa"/>
            <w:vAlign w:val="center"/>
          </w:tcPr>
          <w:p w:rsidR="00DA44CC" w:rsidRDefault="00C53A1B">
            <w:pPr>
              <w:adjustRightInd w:val="0"/>
              <w:snapToGrid w:val="0"/>
              <w:spacing w:line="240" w:lineRule="atLeast"/>
              <w:jc w:val="left"/>
              <w:rPr>
                <w:rFonts w:ascii="黑体" w:eastAsia="黑体" w:hAnsi="黑体"/>
                <w:sz w:val="18"/>
                <w:szCs w:val="18"/>
              </w:rPr>
            </w:pPr>
            <w:r>
              <w:rPr>
                <w:rFonts w:ascii="黑体" w:eastAsia="黑体" w:hAnsi="黑体" w:hint="eastAsia"/>
                <w:sz w:val="18"/>
                <w:szCs w:val="18"/>
              </w:rPr>
              <w:t>主要包括五分钟生活圈居住区绿地、街头绿地和带状绿地</w:t>
            </w:r>
          </w:p>
        </w:tc>
        <w:tc>
          <w:tcPr>
            <w:tcW w:w="1827"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带状游园的宽度宜大于12m，规模一般小于1</w:t>
            </w:r>
            <w:r>
              <w:rPr>
                <w:rFonts w:ascii="黑体" w:eastAsia="黑体" w:hAnsi="黑体"/>
                <w:sz w:val="18"/>
                <w:szCs w:val="18"/>
              </w:rPr>
              <w:t>hm</w:t>
            </w:r>
            <w:r>
              <w:rPr>
                <w:rFonts w:ascii="黑体" w:eastAsia="黑体" w:hAnsi="黑体" w:hint="eastAsia"/>
                <w:sz w:val="18"/>
                <w:szCs w:val="18"/>
              </w:rPr>
              <w:t>²</w:t>
            </w:r>
          </w:p>
        </w:tc>
        <w:tc>
          <w:tcPr>
            <w:tcW w:w="1262" w:type="dxa"/>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300—500m</w:t>
            </w:r>
          </w:p>
        </w:tc>
      </w:tr>
    </w:tbl>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lastRenderedPageBreak/>
        <w:t>第三十九条  各级生活圈公共绿地控制</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新建各级生活圈居住区应配套规划建设各级绿地，并应集中设置具有一定规模，且能开展休闲、体育活动的居住区公园，公共绿地控制指标应符合表5-2的规定。</w:t>
      </w:r>
    </w:p>
    <w:p w:rsidR="00DA44CC" w:rsidRDefault="00C53A1B">
      <w:pPr>
        <w:spacing w:line="360" w:lineRule="auto"/>
        <w:jc w:val="center"/>
        <w:rPr>
          <w:rFonts w:ascii="黑体" w:eastAsia="黑体" w:hAnsi="黑体"/>
        </w:rPr>
      </w:pPr>
      <w:r>
        <w:rPr>
          <w:rFonts w:ascii="黑体" w:eastAsia="黑体" w:hAnsi="黑体" w:hint="eastAsia"/>
        </w:rPr>
        <w:t>表5-2各级生活圈公共绿地控制指标规定</w:t>
      </w:r>
    </w:p>
    <w:tbl>
      <w:tblPr>
        <w:tblW w:w="92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91"/>
        <w:gridCol w:w="2676"/>
        <w:gridCol w:w="2676"/>
        <w:gridCol w:w="2673"/>
      </w:tblGrid>
      <w:tr w:rsidR="00DA44CC">
        <w:tc>
          <w:tcPr>
            <w:tcW w:w="1191"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类别</w:t>
            </w:r>
          </w:p>
        </w:tc>
        <w:tc>
          <w:tcPr>
            <w:tcW w:w="2676"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十五分钟生活圈居住区</w:t>
            </w:r>
          </w:p>
        </w:tc>
        <w:tc>
          <w:tcPr>
            <w:tcW w:w="2676"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十分钟生活圈居住区</w:t>
            </w:r>
          </w:p>
        </w:tc>
        <w:tc>
          <w:tcPr>
            <w:tcW w:w="2673"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五分钟生活圈居住区</w:t>
            </w:r>
          </w:p>
        </w:tc>
      </w:tr>
      <w:tr w:rsidR="00DA44CC">
        <w:tc>
          <w:tcPr>
            <w:tcW w:w="1191"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服务半径</w:t>
            </w:r>
          </w:p>
        </w:tc>
        <w:tc>
          <w:tcPr>
            <w:tcW w:w="2676"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1000m</w:t>
            </w:r>
          </w:p>
        </w:tc>
        <w:tc>
          <w:tcPr>
            <w:tcW w:w="2676"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500m</w:t>
            </w:r>
          </w:p>
        </w:tc>
        <w:tc>
          <w:tcPr>
            <w:tcW w:w="2673"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300m</w:t>
            </w:r>
          </w:p>
        </w:tc>
      </w:tr>
      <w:tr w:rsidR="00DA44CC">
        <w:tc>
          <w:tcPr>
            <w:tcW w:w="1191"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服务人口</w:t>
            </w:r>
          </w:p>
        </w:tc>
        <w:tc>
          <w:tcPr>
            <w:tcW w:w="2676"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3-6万人</w:t>
            </w:r>
          </w:p>
        </w:tc>
        <w:tc>
          <w:tcPr>
            <w:tcW w:w="2676"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1.5-2.5万人</w:t>
            </w:r>
          </w:p>
        </w:tc>
        <w:tc>
          <w:tcPr>
            <w:tcW w:w="2673"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0.5-1.2万人</w:t>
            </w:r>
          </w:p>
        </w:tc>
      </w:tr>
      <w:tr w:rsidR="00DA44CC">
        <w:tc>
          <w:tcPr>
            <w:tcW w:w="1191"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用地规模</w:t>
            </w:r>
          </w:p>
        </w:tc>
        <w:tc>
          <w:tcPr>
            <w:tcW w:w="2676"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3</w:t>
            </w:r>
            <w:r>
              <w:rPr>
                <w:rFonts w:ascii="黑体" w:eastAsia="黑体" w:hAnsi="黑体"/>
                <w:sz w:val="18"/>
                <w:szCs w:val="18"/>
              </w:rPr>
              <w:t>—</w:t>
            </w:r>
            <w:r>
              <w:rPr>
                <w:rFonts w:ascii="黑体" w:eastAsia="黑体" w:hAnsi="黑体" w:hint="eastAsia"/>
                <w:sz w:val="18"/>
                <w:szCs w:val="18"/>
              </w:rPr>
              <w:t>6</w:t>
            </w:r>
            <w:r>
              <w:rPr>
                <w:rFonts w:ascii="黑体" w:eastAsia="黑体" w:hAnsi="黑体"/>
                <w:sz w:val="18"/>
                <w:szCs w:val="18"/>
              </w:rPr>
              <w:t>hm</w:t>
            </w:r>
            <w:r>
              <w:rPr>
                <w:rFonts w:ascii="黑体" w:eastAsia="黑体" w:hAnsi="黑体" w:hint="eastAsia"/>
                <w:sz w:val="18"/>
                <w:szCs w:val="18"/>
              </w:rPr>
              <w:t>²</w:t>
            </w:r>
          </w:p>
        </w:tc>
        <w:tc>
          <w:tcPr>
            <w:tcW w:w="2676"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1</w:t>
            </w:r>
            <w:r>
              <w:rPr>
                <w:rFonts w:ascii="黑体" w:eastAsia="黑体" w:hAnsi="黑体"/>
                <w:sz w:val="18"/>
                <w:szCs w:val="18"/>
              </w:rPr>
              <w:t>hm</w:t>
            </w:r>
            <w:r>
              <w:rPr>
                <w:rFonts w:ascii="黑体" w:eastAsia="黑体" w:hAnsi="黑体" w:hint="eastAsia"/>
                <w:sz w:val="18"/>
                <w:szCs w:val="18"/>
              </w:rPr>
              <w:t>²</w:t>
            </w:r>
          </w:p>
        </w:tc>
        <w:tc>
          <w:tcPr>
            <w:tcW w:w="2673" w:type="dxa"/>
            <w:shd w:val="clear" w:color="auto" w:fill="auto"/>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hint="eastAsia"/>
                <w:sz w:val="18"/>
                <w:szCs w:val="18"/>
              </w:rPr>
              <w:t>0.4</w:t>
            </w:r>
            <w:r>
              <w:rPr>
                <w:rFonts w:ascii="黑体" w:eastAsia="黑体" w:hAnsi="黑体"/>
                <w:sz w:val="18"/>
                <w:szCs w:val="18"/>
              </w:rPr>
              <w:t>hm</w:t>
            </w:r>
            <w:r>
              <w:rPr>
                <w:rFonts w:ascii="黑体" w:eastAsia="黑体" w:hAnsi="黑体" w:hint="eastAsia"/>
                <w:sz w:val="18"/>
                <w:szCs w:val="18"/>
              </w:rPr>
              <w:t>²</w:t>
            </w:r>
          </w:p>
        </w:tc>
      </w:tr>
      <w:tr w:rsidR="00DA44CC">
        <w:tc>
          <w:tcPr>
            <w:tcW w:w="1191"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其他要求</w:t>
            </w:r>
          </w:p>
        </w:tc>
        <w:tc>
          <w:tcPr>
            <w:tcW w:w="2676" w:type="dxa"/>
            <w:shd w:val="clear" w:color="auto" w:fill="auto"/>
            <w:vAlign w:val="center"/>
          </w:tcPr>
          <w:p w:rsidR="00DA44CC" w:rsidRDefault="00C53A1B">
            <w:pPr>
              <w:pStyle w:val="af2"/>
              <w:adjustRightInd w:val="0"/>
              <w:snapToGrid w:val="0"/>
              <w:spacing w:line="240" w:lineRule="atLeast"/>
              <w:jc w:val="left"/>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应集中布置一处中心绿地，有条件的区域参考高配。中心绿地人均面积1.2㎡/人。最小规模不宜小于5</w:t>
            </w:r>
            <w:r>
              <w:rPr>
                <w:rFonts w:ascii="黑体" w:eastAsia="黑体" w:hAnsi="黑体" w:cs="Times New Roman"/>
                <w:snapToGrid/>
                <w:spacing w:val="0"/>
                <w:kern w:val="2"/>
                <w:sz w:val="18"/>
                <w:szCs w:val="18"/>
              </w:rPr>
              <w:t xml:space="preserve"> hm</w:t>
            </w:r>
            <w:r>
              <w:rPr>
                <w:rFonts w:ascii="黑体" w:eastAsia="黑体" w:hAnsi="黑体" w:cs="Times New Roman" w:hint="eastAsia"/>
                <w:snapToGrid/>
                <w:spacing w:val="0"/>
                <w:kern w:val="2"/>
                <w:sz w:val="18"/>
                <w:szCs w:val="18"/>
              </w:rPr>
              <w:t>²；最小宽度不宜小于80m。</w:t>
            </w:r>
          </w:p>
        </w:tc>
        <w:tc>
          <w:tcPr>
            <w:tcW w:w="2676" w:type="dxa"/>
            <w:shd w:val="clear" w:color="auto" w:fill="auto"/>
            <w:vAlign w:val="center"/>
          </w:tcPr>
          <w:p w:rsidR="00DA44CC" w:rsidRDefault="00C53A1B">
            <w:pPr>
              <w:pStyle w:val="af2"/>
              <w:adjustRightInd w:val="0"/>
              <w:snapToGrid w:val="0"/>
              <w:spacing w:line="240" w:lineRule="atLeast"/>
              <w:jc w:val="left"/>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应集中布置一处中心绿地。中心绿地人均面积0.7㎡/人。最小规模不宜小于1</w:t>
            </w:r>
            <w:r>
              <w:rPr>
                <w:rFonts w:ascii="黑体" w:eastAsia="黑体" w:hAnsi="黑体" w:cs="Times New Roman"/>
                <w:snapToGrid/>
                <w:spacing w:val="0"/>
                <w:kern w:val="2"/>
                <w:sz w:val="18"/>
                <w:szCs w:val="18"/>
              </w:rPr>
              <w:t xml:space="preserve"> hm</w:t>
            </w:r>
            <w:r>
              <w:rPr>
                <w:rFonts w:ascii="黑体" w:eastAsia="黑体" w:hAnsi="黑体" w:cs="Times New Roman" w:hint="eastAsia"/>
                <w:snapToGrid/>
                <w:spacing w:val="0"/>
                <w:kern w:val="2"/>
                <w:sz w:val="18"/>
                <w:szCs w:val="18"/>
              </w:rPr>
              <w:t>²；最小宽度不宜小于50m。</w:t>
            </w:r>
          </w:p>
        </w:tc>
        <w:tc>
          <w:tcPr>
            <w:tcW w:w="2673" w:type="dxa"/>
            <w:shd w:val="clear" w:color="auto" w:fill="auto"/>
            <w:vAlign w:val="center"/>
          </w:tcPr>
          <w:p w:rsidR="00DA44CC" w:rsidRDefault="00C53A1B">
            <w:pPr>
              <w:pStyle w:val="af2"/>
              <w:adjustRightInd w:val="0"/>
              <w:snapToGrid w:val="0"/>
              <w:spacing w:line="240" w:lineRule="atLeast"/>
              <w:jc w:val="left"/>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应集中布置一处中心绿地。中心绿地人均面积0.8㎡/人。最小规模不宜小于0.4</w:t>
            </w:r>
            <w:r>
              <w:rPr>
                <w:rFonts w:ascii="黑体" w:eastAsia="黑体" w:hAnsi="黑体" w:cs="Times New Roman"/>
                <w:snapToGrid/>
                <w:spacing w:val="0"/>
                <w:kern w:val="2"/>
                <w:sz w:val="18"/>
                <w:szCs w:val="18"/>
              </w:rPr>
              <w:t xml:space="preserve"> hm</w:t>
            </w:r>
            <w:r>
              <w:rPr>
                <w:rFonts w:ascii="黑体" w:eastAsia="黑体" w:hAnsi="黑体" w:cs="Times New Roman" w:hint="eastAsia"/>
                <w:snapToGrid/>
                <w:spacing w:val="0"/>
                <w:kern w:val="2"/>
                <w:sz w:val="18"/>
                <w:szCs w:val="18"/>
              </w:rPr>
              <w:t>²；最小宽度不宜小于30m。</w:t>
            </w:r>
          </w:p>
        </w:tc>
      </w:tr>
      <w:tr w:rsidR="00DA44CC">
        <w:tc>
          <w:tcPr>
            <w:tcW w:w="1191" w:type="dxa"/>
            <w:shd w:val="clear" w:color="auto" w:fill="auto"/>
            <w:vAlign w:val="center"/>
          </w:tcPr>
          <w:p w:rsidR="00DA44CC" w:rsidRDefault="00C53A1B">
            <w:pPr>
              <w:adjustRightInd w:val="0"/>
              <w:snapToGrid w:val="0"/>
              <w:spacing w:line="240" w:lineRule="atLeast"/>
              <w:rPr>
                <w:rFonts w:ascii="黑体" w:eastAsia="黑体" w:hAnsi="黑体"/>
                <w:sz w:val="18"/>
                <w:szCs w:val="18"/>
              </w:rPr>
            </w:pPr>
            <w:r>
              <w:rPr>
                <w:rFonts w:ascii="黑体" w:eastAsia="黑体" w:hAnsi="黑体" w:hint="eastAsia"/>
                <w:sz w:val="18"/>
                <w:szCs w:val="18"/>
              </w:rPr>
              <w:t>备注</w:t>
            </w:r>
          </w:p>
        </w:tc>
        <w:tc>
          <w:tcPr>
            <w:tcW w:w="2676" w:type="dxa"/>
            <w:shd w:val="clear" w:color="auto" w:fill="auto"/>
            <w:vAlign w:val="center"/>
          </w:tcPr>
          <w:p w:rsidR="00DA44CC" w:rsidRDefault="00C53A1B">
            <w:pPr>
              <w:pStyle w:val="af2"/>
              <w:adjustRightInd w:val="0"/>
              <w:snapToGrid w:val="0"/>
              <w:spacing w:line="240" w:lineRule="atLeast"/>
              <w:jc w:val="left"/>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不含十分钟生活圈级以下级居住区的公共绿地指标</w:t>
            </w:r>
          </w:p>
        </w:tc>
        <w:tc>
          <w:tcPr>
            <w:tcW w:w="2676" w:type="dxa"/>
            <w:shd w:val="clear" w:color="auto" w:fill="auto"/>
            <w:vAlign w:val="center"/>
          </w:tcPr>
          <w:p w:rsidR="00DA44CC" w:rsidRDefault="00C53A1B">
            <w:pPr>
              <w:pStyle w:val="af2"/>
              <w:adjustRightInd w:val="0"/>
              <w:snapToGrid w:val="0"/>
              <w:spacing w:line="240" w:lineRule="atLeast"/>
              <w:jc w:val="left"/>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不含五分钟生活圈级以下级居住区的公共绿地指标</w:t>
            </w:r>
          </w:p>
        </w:tc>
        <w:tc>
          <w:tcPr>
            <w:tcW w:w="2673" w:type="dxa"/>
            <w:shd w:val="clear" w:color="auto" w:fill="auto"/>
            <w:vAlign w:val="center"/>
          </w:tcPr>
          <w:p w:rsidR="00DA44CC" w:rsidRDefault="00C53A1B">
            <w:pPr>
              <w:pStyle w:val="af2"/>
              <w:adjustRightInd w:val="0"/>
              <w:snapToGrid w:val="0"/>
              <w:spacing w:line="240" w:lineRule="atLeast"/>
              <w:jc w:val="left"/>
              <w:rPr>
                <w:rFonts w:ascii="黑体" w:eastAsia="黑体" w:hAnsi="黑体" w:cs="Times New Roman"/>
                <w:snapToGrid/>
                <w:spacing w:val="0"/>
                <w:kern w:val="2"/>
                <w:sz w:val="18"/>
                <w:szCs w:val="18"/>
              </w:rPr>
            </w:pPr>
            <w:r>
              <w:rPr>
                <w:rFonts w:ascii="黑体" w:eastAsia="黑体" w:hAnsi="黑体" w:cs="Times New Roman" w:hint="eastAsia"/>
                <w:snapToGrid/>
                <w:spacing w:val="0"/>
                <w:kern w:val="2"/>
                <w:sz w:val="18"/>
                <w:szCs w:val="18"/>
              </w:rPr>
              <w:t>不含居住街坊的绿地指标</w:t>
            </w:r>
          </w:p>
        </w:tc>
      </w:tr>
    </w:tbl>
    <w:p w:rsidR="00DA44CC" w:rsidRDefault="00C53A1B">
      <w:pPr>
        <w:adjustRightInd w:val="0"/>
        <w:snapToGrid w:val="0"/>
        <w:rPr>
          <w:rFonts w:ascii="黑体" w:eastAsia="黑体" w:hAnsi="黑体"/>
          <w:sz w:val="18"/>
          <w:szCs w:val="18"/>
        </w:rPr>
      </w:pPr>
      <w:r>
        <w:rPr>
          <w:rFonts w:ascii="黑体" w:eastAsia="黑体" w:hAnsi="黑体" w:hint="eastAsia"/>
          <w:sz w:val="18"/>
          <w:szCs w:val="18"/>
        </w:rPr>
        <w:t>注：1.各级居住区公园中应设置</w:t>
      </w:r>
      <w:r>
        <w:rPr>
          <w:rFonts w:ascii="黑体" w:eastAsia="黑体" w:hAnsi="黑体"/>
          <w:sz w:val="18"/>
          <w:szCs w:val="18"/>
        </w:rPr>
        <w:t>10%-15%</w:t>
      </w:r>
      <w:r>
        <w:rPr>
          <w:rFonts w:ascii="黑体" w:eastAsia="黑体" w:hAnsi="黑体" w:hint="eastAsia"/>
          <w:sz w:val="18"/>
          <w:szCs w:val="18"/>
        </w:rPr>
        <w:t>的体育活动场地。</w:t>
      </w:r>
    </w:p>
    <w:p w:rsidR="00DA44CC" w:rsidRDefault="00C53A1B">
      <w:pPr>
        <w:adjustRightInd w:val="0"/>
        <w:snapToGrid w:val="0"/>
        <w:ind w:firstLineChars="200" w:firstLine="360"/>
        <w:rPr>
          <w:rFonts w:ascii="黑体" w:eastAsia="黑体" w:hAnsi="黑体"/>
          <w:sz w:val="18"/>
          <w:szCs w:val="18"/>
        </w:rPr>
      </w:pPr>
      <w:r>
        <w:rPr>
          <w:rFonts w:ascii="黑体" w:eastAsia="黑体" w:hAnsi="黑体" w:hint="eastAsia"/>
          <w:sz w:val="18"/>
          <w:szCs w:val="18"/>
        </w:rPr>
        <w:t>2.十五分钟生活圈、十分钟生活圈居住区公园用地分类属于社区公园（G12），五分钟生活圈居住区公园用地分类属于游园（G14）。</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第四十条  其他规定要求</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当老区改建确实无法满足表表5-2的规定时，可采取多点分布以及立体绿化等方式改善居住环境，但人均公共绿地面积不应低于相应控制指标的70%。</w:t>
      </w:r>
    </w:p>
    <w:p w:rsidR="00DA44CC" w:rsidRDefault="00DA44CC">
      <w:pPr>
        <w:adjustRightInd w:val="0"/>
        <w:snapToGrid w:val="0"/>
        <w:spacing w:line="600" w:lineRule="exact"/>
        <w:ind w:firstLineChars="200" w:firstLine="640"/>
        <w:rPr>
          <w:rFonts w:ascii="方正仿宋简体" w:eastAsia="方正仿宋简体" w:hAnsi="宋体" w:cs="仿宋_GB2312"/>
          <w:color w:val="000000"/>
          <w:sz w:val="32"/>
          <w:szCs w:val="32"/>
        </w:rPr>
      </w:pPr>
    </w:p>
    <w:p w:rsidR="00DA44CC" w:rsidRDefault="00C53A1B">
      <w:pPr>
        <w:adjustRightInd w:val="0"/>
        <w:snapToGrid w:val="0"/>
        <w:spacing w:line="60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第三节  防护绿地</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第四十一条  道（铁）路防护绿地</w:t>
      </w:r>
    </w:p>
    <w:p w:rsidR="00DA44CC" w:rsidRDefault="00C53A1B">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干线铁路两侧绿带控制宽度自轨道外缘外侧不低于20米；铁路专用线两侧绿带控制宽度自轨道外缘外侧10米；沿铁路设置轨道交通线路处，两侧绿带控制宽度自轨道外缘外侧30米；</w:t>
      </w:r>
      <w:r>
        <w:rPr>
          <w:rFonts w:ascii="方正仿宋简体" w:eastAsia="方正仿宋简体" w:hAnsi="宋体" w:cs="仿宋_GB2312" w:hint="eastAsia"/>
          <w:color w:val="000000"/>
          <w:sz w:val="32"/>
          <w:szCs w:val="32"/>
        </w:rPr>
        <w:lastRenderedPageBreak/>
        <w:t>快速铁路两侧绿带控制宽度自轨道外缘外侧50米。</w:t>
      </w:r>
    </w:p>
    <w:p w:rsidR="00DA44CC" w:rsidRPr="007852A6" w:rsidRDefault="00C53A1B">
      <w:pPr>
        <w:adjustRightInd w:val="0"/>
        <w:snapToGrid w:val="0"/>
        <w:spacing w:line="560" w:lineRule="exact"/>
        <w:ind w:firstLineChars="200" w:firstLine="640"/>
        <w:rPr>
          <w:rFonts w:ascii="方正仿宋简体" w:eastAsia="方正仿宋简体" w:hAnsi="宋体" w:cs="仿宋_GB2312"/>
          <w:sz w:val="32"/>
          <w:szCs w:val="32"/>
        </w:rPr>
      </w:pPr>
      <w:r w:rsidRPr="009553D5">
        <w:rPr>
          <w:rFonts w:ascii="方正仿宋简体" w:eastAsia="方正仿宋简体" w:hAnsi="宋体" w:cs="仿宋_GB2312" w:hint="eastAsia"/>
          <w:sz w:val="32"/>
          <w:szCs w:val="32"/>
        </w:rPr>
        <w:t>快速路应划定不小于15米</w:t>
      </w:r>
      <w:r w:rsidR="00526524" w:rsidRPr="009553D5">
        <w:rPr>
          <w:rFonts w:ascii="方正仿宋简体" w:eastAsia="方正仿宋简体" w:hAnsi="宋体" w:cs="仿宋_GB2312" w:hint="eastAsia"/>
          <w:sz w:val="32"/>
          <w:szCs w:val="32"/>
        </w:rPr>
        <w:t>宽</w:t>
      </w:r>
      <w:r w:rsidRPr="009553D5">
        <w:rPr>
          <w:rFonts w:ascii="方正仿宋简体" w:eastAsia="方正仿宋简体" w:hAnsi="宋体" w:cs="仿宋_GB2312" w:hint="eastAsia"/>
          <w:sz w:val="32"/>
          <w:szCs w:val="32"/>
        </w:rPr>
        <w:t>的</w:t>
      </w:r>
      <w:r w:rsidR="00526524" w:rsidRPr="009553D5">
        <w:rPr>
          <w:rFonts w:ascii="方正仿宋简体" w:eastAsia="方正仿宋简体" w:hAnsi="宋体" w:cs="仿宋_GB2312" w:hint="eastAsia"/>
          <w:sz w:val="32"/>
          <w:szCs w:val="32"/>
        </w:rPr>
        <w:t>防护</w:t>
      </w:r>
      <w:r w:rsidRPr="009553D5">
        <w:rPr>
          <w:rFonts w:ascii="方正仿宋简体" w:eastAsia="方正仿宋简体" w:hAnsi="宋体" w:cs="仿宋_GB2312" w:hint="eastAsia"/>
          <w:sz w:val="32"/>
          <w:szCs w:val="32"/>
        </w:rPr>
        <w:t>绿</w:t>
      </w:r>
      <w:r w:rsidR="009553D5" w:rsidRPr="009553D5">
        <w:rPr>
          <w:rFonts w:ascii="方正仿宋简体" w:eastAsia="方正仿宋简体" w:hAnsi="宋体" w:cs="仿宋_GB2312" w:hint="eastAsia"/>
          <w:sz w:val="32"/>
          <w:szCs w:val="32"/>
        </w:rPr>
        <w:t>带</w:t>
      </w:r>
      <w:r w:rsidRPr="009553D5">
        <w:rPr>
          <w:rFonts w:ascii="方正仿宋简体" w:eastAsia="方正仿宋简体" w:hAnsi="宋体" w:cs="仿宋_GB2312" w:hint="eastAsia"/>
          <w:sz w:val="32"/>
          <w:szCs w:val="32"/>
        </w:rPr>
        <w:t>，其他道路绿</w:t>
      </w:r>
      <w:r w:rsidR="00B02005" w:rsidRPr="009553D5">
        <w:rPr>
          <w:rFonts w:ascii="方正仿宋简体" w:eastAsia="方正仿宋简体" w:hAnsi="宋体" w:cs="仿宋_GB2312" w:hint="eastAsia"/>
          <w:sz w:val="32"/>
          <w:szCs w:val="32"/>
        </w:rPr>
        <w:t>带</w:t>
      </w:r>
      <w:r w:rsidRPr="009553D5">
        <w:rPr>
          <w:rFonts w:ascii="方正仿宋简体" w:eastAsia="方正仿宋简体" w:hAnsi="宋体" w:cs="仿宋_GB2312" w:hint="eastAsia"/>
          <w:sz w:val="32"/>
          <w:szCs w:val="32"/>
        </w:rPr>
        <w:t>结合实际情况划定</w:t>
      </w:r>
      <w:r w:rsidR="007852A6" w:rsidRPr="009553D5">
        <w:rPr>
          <w:rFonts w:ascii="方正仿宋简体" w:eastAsia="方正仿宋简体" w:hAnsi="宋体" w:cs="仿宋_GB2312" w:hint="eastAsia"/>
          <w:sz w:val="32"/>
          <w:szCs w:val="32"/>
        </w:rPr>
        <w:t>。</w:t>
      </w:r>
    </w:p>
    <w:p w:rsidR="00DA44CC" w:rsidRDefault="00C53A1B">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第四十二条  工业用地防护绿地</w:t>
      </w:r>
    </w:p>
    <w:p w:rsidR="00DA44CC" w:rsidRDefault="00C53A1B">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三类工业用地与居住区之间应设置防护绿地。二类工业用地的防护绿地的宽度不宜小于30米，三类工业用地的防护绿地的宽度不宜小于50米。</w:t>
      </w:r>
    </w:p>
    <w:p w:rsidR="00DA44CC" w:rsidRDefault="00C53A1B">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第四十三条  公用设施防护绿地</w:t>
      </w:r>
    </w:p>
    <w:p w:rsidR="00DA44CC" w:rsidRDefault="00C53A1B">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公用设施周围的防护绿地规划宽度应符合表5-2规定。</w:t>
      </w:r>
    </w:p>
    <w:p w:rsidR="00DA44CC" w:rsidRDefault="00C53A1B">
      <w:pPr>
        <w:spacing w:line="360" w:lineRule="auto"/>
        <w:jc w:val="center"/>
      </w:pPr>
      <w:r>
        <w:rPr>
          <w:rFonts w:ascii="黑体" w:eastAsia="黑体" w:hAnsi="黑体" w:hint="eastAsia"/>
        </w:rPr>
        <w:t>表5-2公用设施防护绿地宽度控制一览表</w:t>
      </w:r>
    </w:p>
    <w:tbl>
      <w:tblPr>
        <w:tblW w:w="92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2"/>
        <w:gridCol w:w="3157"/>
        <w:gridCol w:w="3172"/>
        <w:gridCol w:w="2055"/>
      </w:tblGrid>
      <w:tr w:rsidR="00DA44CC">
        <w:trPr>
          <w:trHeight w:hRule="exact" w:val="295"/>
          <w:jc w:val="center"/>
        </w:trPr>
        <w:tc>
          <w:tcPr>
            <w:tcW w:w="832" w:type="dxa"/>
            <w:shd w:val="clear" w:color="auto" w:fill="FFFFFF"/>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编号</w:t>
            </w:r>
          </w:p>
        </w:tc>
        <w:tc>
          <w:tcPr>
            <w:tcW w:w="6329" w:type="dxa"/>
            <w:gridSpan w:val="2"/>
            <w:shd w:val="clear" w:color="auto" w:fill="FFFFFF"/>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防护对象(设施或用地类型)</w:t>
            </w:r>
          </w:p>
        </w:tc>
        <w:tc>
          <w:tcPr>
            <w:tcW w:w="2055" w:type="dxa"/>
            <w:shd w:val="clear" w:color="auto" w:fill="FFFFFF"/>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规划宽度规定（</w:t>
            </w:r>
            <w:r>
              <w:rPr>
                <w:rFonts w:ascii="黑体" w:eastAsia="黑体" w:hAnsi="黑体" w:hint="eastAsia"/>
                <w:sz w:val="18"/>
                <w:szCs w:val="18"/>
              </w:rPr>
              <w:t>米</w:t>
            </w:r>
            <w:r>
              <w:rPr>
                <w:rFonts w:ascii="黑体" w:eastAsia="黑体" w:hAnsi="黑体"/>
                <w:sz w:val="18"/>
                <w:szCs w:val="18"/>
              </w:rPr>
              <w:t>）</w:t>
            </w:r>
          </w:p>
        </w:tc>
      </w:tr>
      <w:tr w:rsidR="00DA44CC">
        <w:trPr>
          <w:trHeight w:hRule="exact" w:val="295"/>
          <w:jc w:val="center"/>
        </w:trPr>
        <w:tc>
          <w:tcPr>
            <w:tcW w:w="83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1</w:t>
            </w:r>
          </w:p>
        </w:tc>
        <w:tc>
          <w:tcPr>
            <w:tcW w:w="6329" w:type="dxa"/>
            <w:gridSpan w:val="2"/>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水厂</w:t>
            </w:r>
          </w:p>
        </w:tc>
        <w:tc>
          <w:tcPr>
            <w:tcW w:w="205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≥10</w:t>
            </w:r>
          </w:p>
        </w:tc>
      </w:tr>
      <w:tr w:rsidR="00DA44CC">
        <w:trPr>
          <w:trHeight w:hRule="exact" w:val="295"/>
          <w:jc w:val="center"/>
        </w:trPr>
        <w:tc>
          <w:tcPr>
            <w:tcW w:w="83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2</w:t>
            </w:r>
          </w:p>
        </w:tc>
        <w:tc>
          <w:tcPr>
            <w:tcW w:w="6329" w:type="dxa"/>
            <w:gridSpan w:val="2"/>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输配水泵站</w:t>
            </w:r>
          </w:p>
        </w:tc>
        <w:tc>
          <w:tcPr>
            <w:tcW w:w="205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≥10</w:t>
            </w:r>
          </w:p>
        </w:tc>
      </w:tr>
      <w:tr w:rsidR="00DA44CC">
        <w:trPr>
          <w:trHeight w:hRule="exact" w:val="295"/>
          <w:jc w:val="center"/>
        </w:trPr>
        <w:tc>
          <w:tcPr>
            <w:tcW w:w="83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3</w:t>
            </w:r>
          </w:p>
        </w:tc>
        <w:tc>
          <w:tcPr>
            <w:tcW w:w="6329" w:type="dxa"/>
            <w:gridSpan w:val="2"/>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排水泵站</w:t>
            </w:r>
          </w:p>
        </w:tc>
        <w:tc>
          <w:tcPr>
            <w:tcW w:w="205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≥30</w:t>
            </w:r>
          </w:p>
        </w:tc>
      </w:tr>
      <w:tr w:rsidR="00DA44CC">
        <w:trPr>
          <w:trHeight w:hRule="exact" w:val="295"/>
          <w:jc w:val="center"/>
        </w:trPr>
        <w:tc>
          <w:tcPr>
            <w:tcW w:w="83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4</w:t>
            </w:r>
          </w:p>
        </w:tc>
        <w:tc>
          <w:tcPr>
            <w:tcW w:w="6329" w:type="dxa"/>
            <w:gridSpan w:val="2"/>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污水处理厂</w:t>
            </w:r>
          </w:p>
        </w:tc>
        <w:tc>
          <w:tcPr>
            <w:tcW w:w="205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≥50</w:t>
            </w:r>
          </w:p>
        </w:tc>
      </w:tr>
      <w:tr w:rsidR="00DA44CC">
        <w:trPr>
          <w:trHeight w:hRule="exact" w:val="298"/>
          <w:jc w:val="center"/>
        </w:trPr>
        <w:tc>
          <w:tcPr>
            <w:tcW w:w="83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5</w:t>
            </w:r>
          </w:p>
        </w:tc>
        <w:tc>
          <w:tcPr>
            <w:tcW w:w="6329" w:type="dxa"/>
            <w:gridSpan w:val="2"/>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粪便污水前端处理设施</w:t>
            </w:r>
          </w:p>
        </w:tc>
        <w:tc>
          <w:tcPr>
            <w:tcW w:w="205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≥5</w:t>
            </w:r>
          </w:p>
        </w:tc>
      </w:tr>
      <w:tr w:rsidR="00DA44CC">
        <w:trPr>
          <w:trHeight w:hRule="exact" w:val="295"/>
          <w:jc w:val="center"/>
        </w:trPr>
        <w:tc>
          <w:tcPr>
            <w:tcW w:w="832"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6</w:t>
            </w:r>
          </w:p>
        </w:tc>
        <w:tc>
          <w:tcPr>
            <w:tcW w:w="3157"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生活垃圾转运站</w:t>
            </w:r>
          </w:p>
        </w:tc>
        <w:tc>
          <w:tcPr>
            <w:tcW w:w="317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＞450t/d</w:t>
            </w:r>
          </w:p>
        </w:tc>
        <w:tc>
          <w:tcPr>
            <w:tcW w:w="205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≥15</w:t>
            </w:r>
          </w:p>
        </w:tc>
      </w:tr>
      <w:tr w:rsidR="00DA44CC">
        <w:trPr>
          <w:trHeight w:hRule="exact" w:val="296"/>
          <w:jc w:val="center"/>
        </w:trPr>
        <w:tc>
          <w:tcPr>
            <w:tcW w:w="832"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3157"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317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150-450t/d</w:t>
            </w:r>
          </w:p>
        </w:tc>
        <w:tc>
          <w:tcPr>
            <w:tcW w:w="205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≥8</w:t>
            </w:r>
          </w:p>
        </w:tc>
      </w:tr>
      <w:tr w:rsidR="00DA44CC">
        <w:trPr>
          <w:trHeight w:hRule="exact" w:val="295"/>
          <w:jc w:val="center"/>
        </w:trPr>
        <w:tc>
          <w:tcPr>
            <w:tcW w:w="832"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3157"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317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50-150t/d</w:t>
            </w:r>
          </w:p>
        </w:tc>
        <w:tc>
          <w:tcPr>
            <w:tcW w:w="205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≥5</w:t>
            </w:r>
          </w:p>
        </w:tc>
      </w:tr>
      <w:tr w:rsidR="00DA44CC">
        <w:trPr>
          <w:trHeight w:hRule="exact" w:val="295"/>
          <w:jc w:val="center"/>
        </w:trPr>
        <w:tc>
          <w:tcPr>
            <w:tcW w:w="832"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3157"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317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＜50t/d</w:t>
            </w:r>
          </w:p>
        </w:tc>
        <w:tc>
          <w:tcPr>
            <w:tcW w:w="205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≥3</w:t>
            </w:r>
          </w:p>
        </w:tc>
      </w:tr>
      <w:tr w:rsidR="00DA44CC">
        <w:trPr>
          <w:trHeight w:hRule="exact" w:val="295"/>
          <w:jc w:val="center"/>
        </w:trPr>
        <w:tc>
          <w:tcPr>
            <w:tcW w:w="83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7</w:t>
            </w:r>
          </w:p>
        </w:tc>
        <w:tc>
          <w:tcPr>
            <w:tcW w:w="6329" w:type="dxa"/>
            <w:gridSpan w:val="2"/>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垃圾码头综合用地</w:t>
            </w:r>
          </w:p>
        </w:tc>
        <w:tc>
          <w:tcPr>
            <w:tcW w:w="205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≥10</w:t>
            </w:r>
          </w:p>
        </w:tc>
      </w:tr>
      <w:tr w:rsidR="00DA44CC">
        <w:trPr>
          <w:trHeight w:val="630"/>
          <w:jc w:val="center"/>
        </w:trPr>
        <w:tc>
          <w:tcPr>
            <w:tcW w:w="83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8</w:t>
            </w:r>
          </w:p>
        </w:tc>
        <w:tc>
          <w:tcPr>
            <w:tcW w:w="6329" w:type="dxa"/>
            <w:gridSpan w:val="2"/>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生活垃圾卫生填埋场用地、垃圾处理厂、生活垃圾焚烧厂</w:t>
            </w:r>
          </w:p>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生活垃圾堆肥厂、粪便处理厂</w:t>
            </w:r>
          </w:p>
        </w:tc>
        <w:tc>
          <w:tcPr>
            <w:tcW w:w="205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≥100</w:t>
            </w:r>
          </w:p>
        </w:tc>
      </w:tr>
      <w:tr w:rsidR="00DA44CC">
        <w:trPr>
          <w:trHeight w:hRule="exact" w:val="295"/>
          <w:jc w:val="center"/>
        </w:trPr>
        <w:tc>
          <w:tcPr>
            <w:tcW w:w="832" w:type="dxa"/>
            <w:vMerge w:val="restart"/>
            <w:vAlign w:val="center"/>
          </w:tcPr>
          <w:p w:rsidR="00DA44CC" w:rsidRDefault="00DA44CC">
            <w:pPr>
              <w:adjustRightInd w:val="0"/>
              <w:snapToGrid w:val="0"/>
              <w:spacing w:line="240" w:lineRule="atLeast"/>
              <w:jc w:val="center"/>
              <w:rPr>
                <w:rFonts w:ascii="黑体" w:eastAsia="黑体" w:hAnsi="黑体"/>
                <w:sz w:val="18"/>
                <w:szCs w:val="18"/>
              </w:rPr>
            </w:pPr>
          </w:p>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9</w:t>
            </w:r>
          </w:p>
          <w:p w:rsidR="00DA44CC" w:rsidRDefault="00DA44CC">
            <w:pPr>
              <w:adjustRightInd w:val="0"/>
              <w:snapToGrid w:val="0"/>
              <w:spacing w:line="240" w:lineRule="atLeast"/>
              <w:jc w:val="center"/>
              <w:rPr>
                <w:rFonts w:ascii="黑体" w:eastAsia="黑体" w:hAnsi="黑体"/>
                <w:sz w:val="18"/>
                <w:szCs w:val="18"/>
              </w:rPr>
            </w:pPr>
          </w:p>
        </w:tc>
        <w:tc>
          <w:tcPr>
            <w:tcW w:w="3157"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新建建筑垃圾转运调配场用地</w:t>
            </w:r>
          </w:p>
        </w:tc>
        <w:tc>
          <w:tcPr>
            <w:tcW w:w="317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＞2000t/d</w:t>
            </w:r>
          </w:p>
        </w:tc>
        <w:tc>
          <w:tcPr>
            <w:tcW w:w="205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≥20</w:t>
            </w:r>
          </w:p>
        </w:tc>
      </w:tr>
      <w:tr w:rsidR="00DA44CC">
        <w:trPr>
          <w:trHeight w:hRule="exact" w:val="295"/>
          <w:jc w:val="center"/>
        </w:trPr>
        <w:tc>
          <w:tcPr>
            <w:tcW w:w="832"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3157"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317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500-2000t/d</w:t>
            </w:r>
          </w:p>
        </w:tc>
        <w:tc>
          <w:tcPr>
            <w:tcW w:w="205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≥15</w:t>
            </w:r>
          </w:p>
        </w:tc>
      </w:tr>
      <w:tr w:rsidR="00DA44CC">
        <w:trPr>
          <w:trHeight w:hRule="exact" w:val="295"/>
          <w:jc w:val="center"/>
        </w:trPr>
        <w:tc>
          <w:tcPr>
            <w:tcW w:w="832"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3157"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317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＜500t/d</w:t>
            </w:r>
          </w:p>
        </w:tc>
        <w:tc>
          <w:tcPr>
            <w:tcW w:w="205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≥10</w:t>
            </w:r>
          </w:p>
        </w:tc>
      </w:tr>
      <w:tr w:rsidR="00DA44CC">
        <w:trPr>
          <w:trHeight w:hRule="exact" w:val="295"/>
          <w:jc w:val="center"/>
        </w:trPr>
        <w:tc>
          <w:tcPr>
            <w:tcW w:w="832"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10</w:t>
            </w:r>
          </w:p>
        </w:tc>
        <w:tc>
          <w:tcPr>
            <w:tcW w:w="3157"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变电站（室外）</w:t>
            </w:r>
          </w:p>
        </w:tc>
        <w:tc>
          <w:tcPr>
            <w:tcW w:w="317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500kv</w:t>
            </w:r>
          </w:p>
        </w:tc>
        <w:tc>
          <w:tcPr>
            <w:tcW w:w="205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≥30</w:t>
            </w:r>
          </w:p>
        </w:tc>
      </w:tr>
      <w:tr w:rsidR="00DA44CC">
        <w:trPr>
          <w:trHeight w:hRule="exact" w:val="296"/>
          <w:jc w:val="center"/>
        </w:trPr>
        <w:tc>
          <w:tcPr>
            <w:tcW w:w="832"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3157"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317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220kv</w:t>
            </w:r>
          </w:p>
        </w:tc>
        <w:tc>
          <w:tcPr>
            <w:tcW w:w="205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≥20</w:t>
            </w:r>
          </w:p>
        </w:tc>
      </w:tr>
      <w:tr w:rsidR="00DA44CC">
        <w:trPr>
          <w:trHeight w:hRule="exact" w:val="295"/>
          <w:jc w:val="center"/>
        </w:trPr>
        <w:tc>
          <w:tcPr>
            <w:tcW w:w="832"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3157"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3172"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110kv</w:t>
            </w:r>
          </w:p>
        </w:tc>
        <w:tc>
          <w:tcPr>
            <w:tcW w:w="2055"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≥15</w:t>
            </w:r>
          </w:p>
        </w:tc>
      </w:tr>
    </w:tbl>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第四十四条  公用设施廊道</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公用设施廊道周围应按照表5-3规定的宽度规划防护绿地。</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lastRenderedPageBreak/>
        <w:t>35kV以上的高压走廊，宜根据线路的电压等级及同走廊架设的线路数量，设置相应宽度的高压走廊绿地。</w:t>
      </w:r>
    </w:p>
    <w:p w:rsidR="00DA44CC" w:rsidRDefault="00C53A1B">
      <w:pPr>
        <w:spacing w:line="360" w:lineRule="auto"/>
        <w:jc w:val="center"/>
      </w:pPr>
      <w:r>
        <w:rPr>
          <w:rFonts w:ascii="黑体" w:eastAsia="黑体" w:hAnsi="黑体" w:hint="eastAsia"/>
        </w:rPr>
        <w:t>表5-3公用设施廊道防护绿地宽度控制一览表</w:t>
      </w:r>
    </w:p>
    <w:tbl>
      <w:tblPr>
        <w:tblW w:w="92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3"/>
        <w:gridCol w:w="1158"/>
        <w:gridCol w:w="1650"/>
        <w:gridCol w:w="3124"/>
        <w:gridCol w:w="2461"/>
      </w:tblGrid>
      <w:tr w:rsidR="00DA44CC">
        <w:trPr>
          <w:trHeight w:hRule="exact" w:val="411"/>
          <w:jc w:val="center"/>
        </w:trPr>
        <w:tc>
          <w:tcPr>
            <w:tcW w:w="823" w:type="dxa"/>
            <w:shd w:val="clear" w:color="auto" w:fill="FFFFFF"/>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编号</w:t>
            </w:r>
          </w:p>
        </w:tc>
        <w:tc>
          <w:tcPr>
            <w:tcW w:w="2808" w:type="dxa"/>
            <w:gridSpan w:val="2"/>
            <w:shd w:val="clear" w:color="auto" w:fill="FFFFFF"/>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市政设施名称</w:t>
            </w:r>
          </w:p>
        </w:tc>
        <w:tc>
          <w:tcPr>
            <w:tcW w:w="3124" w:type="dxa"/>
            <w:shd w:val="clear" w:color="auto" w:fill="FFFFFF"/>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防护绿地宽度要求(</w:t>
            </w:r>
            <w:r>
              <w:rPr>
                <w:rFonts w:ascii="黑体" w:eastAsia="黑体" w:hAnsi="黑体" w:hint="eastAsia"/>
                <w:sz w:val="18"/>
                <w:szCs w:val="18"/>
              </w:rPr>
              <w:t>米</w:t>
            </w:r>
            <w:r>
              <w:rPr>
                <w:rFonts w:ascii="黑体" w:eastAsia="黑体" w:hAnsi="黑体"/>
                <w:sz w:val="18"/>
                <w:szCs w:val="18"/>
              </w:rPr>
              <w:t>)</w:t>
            </w:r>
          </w:p>
        </w:tc>
        <w:tc>
          <w:tcPr>
            <w:tcW w:w="2461" w:type="dxa"/>
            <w:shd w:val="clear" w:color="auto" w:fill="FFFFFF"/>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备注</w:t>
            </w:r>
          </w:p>
        </w:tc>
      </w:tr>
      <w:tr w:rsidR="00DA44CC">
        <w:trPr>
          <w:trHeight w:hRule="exact" w:val="295"/>
          <w:jc w:val="center"/>
        </w:trPr>
        <w:tc>
          <w:tcPr>
            <w:tcW w:w="823"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1</w:t>
            </w:r>
          </w:p>
        </w:tc>
        <w:tc>
          <w:tcPr>
            <w:tcW w:w="2808" w:type="dxa"/>
            <w:gridSpan w:val="2"/>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石油、天然气管道</w:t>
            </w:r>
          </w:p>
        </w:tc>
        <w:tc>
          <w:tcPr>
            <w:tcW w:w="3124"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5（单侧）</w:t>
            </w:r>
          </w:p>
        </w:tc>
        <w:tc>
          <w:tcPr>
            <w:tcW w:w="2461"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从管道线路中心线计</w:t>
            </w:r>
          </w:p>
        </w:tc>
      </w:tr>
      <w:tr w:rsidR="00DA44CC">
        <w:trPr>
          <w:trHeight w:hRule="exact" w:val="298"/>
          <w:jc w:val="center"/>
        </w:trPr>
        <w:tc>
          <w:tcPr>
            <w:tcW w:w="823"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2</w:t>
            </w:r>
          </w:p>
        </w:tc>
        <w:tc>
          <w:tcPr>
            <w:tcW w:w="1158"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高压输电</w:t>
            </w:r>
          </w:p>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线走廊</w:t>
            </w:r>
          </w:p>
        </w:tc>
        <w:tc>
          <w:tcPr>
            <w:tcW w:w="1650"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35kV</w:t>
            </w:r>
          </w:p>
        </w:tc>
        <w:tc>
          <w:tcPr>
            <w:tcW w:w="3124"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12-20</w:t>
            </w:r>
          </w:p>
        </w:tc>
        <w:tc>
          <w:tcPr>
            <w:tcW w:w="2461" w:type="dxa"/>
            <w:vMerge w:val="restart"/>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总宽度</w:t>
            </w:r>
          </w:p>
        </w:tc>
      </w:tr>
      <w:tr w:rsidR="00DA44CC">
        <w:trPr>
          <w:trHeight w:hRule="exact" w:val="295"/>
          <w:jc w:val="center"/>
        </w:trPr>
        <w:tc>
          <w:tcPr>
            <w:tcW w:w="823" w:type="dxa"/>
            <w:vMerge/>
            <w:vAlign w:val="center"/>
          </w:tcPr>
          <w:p w:rsidR="00DA44CC" w:rsidRDefault="00DA44CC"/>
        </w:tc>
        <w:tc>
          <w:tcPr>
            <w:tcW w:w="1158"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1650"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66~110kV</w:t>
            </w:r>
          </w:p>
        </w:tc>
        <w:tc>
          <w:tcPr>
            <w:tcW w:w="3124"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15-25</w:t>
            </w:r>
          </w:p>
        </w:tc>
        <w:tc>
          <w:tcPr>
            <w:tcW w:w="2461" w:type="dxa"/>
            <w:vMerge/>
            <w:vAlign w:val="center"/>
          </w:tcPr>
          <w:p w:rsidR="00DA44CC" w:rsidRDefault="00DA44CC">
            <w:pPr>
              <w:rPr>
                <w:szCs w:val="22"/>
              </w:rPr>
            </w:pPr>
          </w:p>
        </w:tc>
      </w:tr>
      <w:tr w:rsidR="00DA44CC">
        <w:trPr>
          <w:trHeight w:hRule="exact" w:val="295"/>
          <w:jc w:val="center"/>
        </w:trPr>
        <w:tc>
          <w:tcPr>
            <w:tcW w:w="823" w:type="dxa"/>
            <w:vMerge/>
            <w:vAlign w:val="center"/>
          </w:tcPr>
          <w:p w:rsidR="00DA44CC" w:rsidRDefault="00DA44CC"/>
        </w:tc>
        <w:tc>
          <w:tcPr>
            <w:tcW w:w="1158"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1650"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220kV</w:t>
            </w:r>
          </w:p>
        </w:tc>
        <w:tc>
          <w:tcPr>
            <w:tcW w:w="3124"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30-40</w:t>
            </w:r>
          </w:p>
        </w:tc>
        <w:tc>
          <w:tcPr>
            <w:tcW w:w="2461" w:type="dxa"/>
            <w:vMerge/>
            <w:vAlign w:val="center"/>
          </w:tcPr>
          <w:p w:rsidR="00DA44CC" w:rsidRDefault="00DA44CC">
            <w:pPr>
              <w:rPr>
                <w:szCs w:val="22"/>
              </w:rPr>
            </w:pPr>
          </w:p>
        </w:tc>
      </w:tr>
      <w:tr w:rsidR="00DA44CC">
        <w:trPr>
          <w:trHeight w:hRule="exact" w:val="295"/>
          <w:jc w:val="center"/>
        </w:trPr>
        <w:tc>
          <w:tcPr>
            <w:tcW w:w="823" w:type="dxa"/>
            <w:vMerge/>
            <w:vAlign w:val="center"/>
          </w:tcPr>
          <w:p w:rsidR="00DA44CC" w:rsidRDefault="00DA44CC"/>
        </w:tc>
        <w:tc>
          <w:tcPr>
            <w:tcW w:w="1158"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1650"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330kV</w:t>
            </w:r>
          </w:p>
        </w:tc>
        <w:tc>
          <w:tcPr>
            <w:tcW w:w="3124"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35-45</w:t>
            </w:r>
          </w:p>
        </w:tc>
        <w:tc>
          <w:tcPr>
            <w:tcW w:w="2461" w:type="dxa"/>
            <w:vMerge/>
            <w:vAlign w:val="center"/>
          </w:tcPr>
          <w:p w:rsidR="00DA44CC" w:rsidRDefault="00DA44CC">
            <w:pPr>
              <w:rPr>
                <w:szCs w:val="22"/>
              </w:rPr>
            </w:pPr>
          </w:p>
        </w:tc>
      </w:tr>
      <w:tr w:rsidR="00DA44CC">
        <w:trPr>
          <w:trHeight w:hRule="exact" w:val="293"/>
          <w:jc w:val="center"/>
        </w:trPr>
        <w:tc>
          <w:tcPr>
            <w:tcW w:w="823" w:type="dxa"/>
            <w:vMerge/>
            <w:vAlign w:val="center"/>
          </w:tcPr>
          <w:p w:rsidR="00DA44CC" w:rsidRDefault="00DA44CC"/>
        </w:tc>
        <w:tc>
          <w:tcPr>
            <w:tcW w:w="1158" w:type="dxa"/>
            <w:vMerge/>
            <w:vAlign w:val="center"/>
          </w:tcPr>
          <w:p w:rsidR="00DA44CC" w:rsidRDefault="00DA44CC">
            <w:pPr>
              <w:adjustRightInd w:val="0"/>
              <w:snapToGrid w:val="0"/>
              <w:spacing w:line="240" w:lineRule="atLeast"/>
              <w:jc w:val="center"/>
              <w:rPr>
                <w:rFonts w:ascii="黑体" w:eastAsia="黑体" w:hAnsi="黑体"/>
                <w:sz w:val="18"/>
                <w:szCs w:val="18"/>
              </w:rPr>
            </w:pPr>
          </w:p>
        </w:tc>
        <w:tc>
          <w:tcPr>
            <w:tcW w:w="1650"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≥500kV</w:t>
            </w:r>
          </w:p>
        </w:tc>
        <w:tc>
          <w:tcPr>
            <w:tcW w:w="3124" w:type="dxa"/>
            <w:vAlign w:val="center"/>
          </w:tcPr>
          <w:p w:rsidR="00DA44CC" w:rsidRDefault="00C53A1B">
            <w:pPr>
              <w:adjustRightInd w:val="0"/>
              <w:snapToGrid w:val="0"/>
              <w:spacing w:line="240" w:lineRule="atLeast"/>
              <w:jc w:val="center"/>
              <w:rPr>
                <w:rFonts w:ascii="黑体" w:eastAsia="黑体" w:hAnsi="黑体"/>
                <w:sz w:val="18"/>
                <w:szCs w:val="18"/>
              </w:rPr>
            </w:pPr>
            <w:r>
              <w:rPr>
                <w:rFonts w:ascii="黑体" w:eastAsia="黑体" w:hAnsi="黑体"/>
                <w:sz w:val="18"/>
                <w:szCs w:val="18"/>
              </w:rPr>
              <w:t>60-75</w:t>
            </w:r>
          </w:p>
        </w:tc>
        <w:tc>
          <w:tcPr>
            <w:tcW w:w="2461" w:type="dxa"/>
            <w:vMerge/>
            <w:vAlign w:val="center"/>
          </w:tcPr>
          <w:p w:rsidR="00DA44CC" w:rsidRDefault="00DA44CC">
            <w:pPr>
              <w:rPr>
                <w:szCs w:val="22"/>
              </w:rPr>
            </w:pPr>
          </w:p>
        </w:tc>
      </w:tr>
    </w:tbl>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第四十五条  其他规定要求</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传染病院周围必须设置防护绿地，宽度不小于50米。</w:t>
      </w:r>
    </w:p>
    <w:p w:rsidR="00DA44CC" w:rsidRDefault="00DA44CC">
      <w:pPr>
        <w:adjustRightInd w:val="0"/>
        <w:snapToGrid w:val="0"/>
        <w:spacing w:line="600" w:lineRule="exact"/>
        <w:jc w:val="center"/>
        <w:rPr>
          <w:rFonts w:ascii="方正黑体简体" w:eastAsia="方正黑体简体" w:hAnsi="宋体" w:cs="黑体"/>
          <w:color w:val="000000"/>
          <w:sz w:val="32"/>
          <w:szCs w:val="32"/>
        </w:rPr>
      </w:pPr>
    </w:p>
    <w:p w:rsidR="00DA44CC" w:rsidRDefault="00C53A1B">
      <w:pPr>
        <w:adjustRightInd w:val="0"/>
        <w:snapToGrid w:val="0"/>
        <w:spacing w:line="60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第六章  六线控制</w:t>
      </w:r>
    </w:p>
    <w:p w:rsidR="00DA44CC" w:rsidRDefault="00DA44CC">
      <w:pPr>
        <w:adjustRightInd w:val="0"/>
        <w:snapToGrid w:val="0"/>
        <w:spacing w:line="600" w:lineRule="exact"/>
        <w:jc w:val="center"/>
        <w:rPr>
          <w:rFonts w:ascii="方正黑体简体" w:eastAsia="方正黑体简体" w:hAnsi="宋体" w:cs="黑体"/>
          <w:color w:val="000000"/>
          <w:sz w:val="32"/>
          <w:szCs w:val="32"/>
        </w:rPr>
      </w:pPr>
    </w:p>
    <w:p w:rsidR="00DA44CC" w:rsidRDefault="00C53A1B">
      <w:pPr>
        <w:adjustRightInd w:val="0"/>
        <w:snapToGrid w:val="0"/>
        <w:spacing w:line="60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第一节  一般规定</w:t>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第四十六条  六线控制内容</w:t>
      </w:r>
    </w:p>
    <w:p w:rsidR="00DA44CC" w:rsidRPr="007852A6" w:rsidRDefault="00C53A1B" w:rsidP="00D43F73">
      <w:pPr>
        <w:adjustRightInd w:val="0"/>
        <w:snapToGrid w:val="0"/>
        <w:spacing w:line="560" w:lineRule="exact"/>
        <w:ind w:firstLineChars="200" w:firstLine="640"/>
        <w:rPr>
          <w:rFonts w:ascii="方正仿宋简体" w:eastAsia="方正仿宋简体" w:hAnsi="宋体" w:cs="仿宋_GB2312"/>
          <w:sz w:val="32"/>
          <w:szCs w:val="32"/>
        </w:rPr>
      </w:pPr>
      <w:r w:rsidRPr="007852A6">
        <w:rPr>
          <w:rFonts w:ascii="方正仿宋简体" w:eastAsia="方正仿宋简体" w:hAnsi="宋体" w:cs="仿宋_GB2312" w:hint="eastAsia"/>
          <w:sz w:val="32"/>
          <w:szCs w:val="32"/>
        </w:rPr>
        <w:t>六线控制是指对道路红线、城市蓝线、城市黄线、</w:t>
      </w:r>
      <w:r w:rsidR="00526524" w:rsidRPr="007852A6">
        <w:rPr>
          <w:rFonts w:ascii="方正仿宋简体" w:eastAsia="方正仿宋简体" w:hAnsi="宋体" w:cs="仿宋_GB2312" w:hint="eastAsia"/>
          <w:sz w:val="32"/>
          <w:szCs w:val="32"/>
        </w:rPr>
        <w:t>城市橙线、</w:t>
      </w:r>
      <w:r w:rsidRPr="007852A6">
        <w:rPr>
          <w:rFonts w:ascii="方正仿宋简体" w:eastAsia="方正仿宋简体" w:hAnsi="宋体" w:cs="仿宋_GB2312" w:hint="eastAsia"/>
          <w:sz w:val="32"/>
          <w:szCs w:val="32"/>
        </w:rPr>
        <w:t>城市绿线、城市紫线等控制管理。</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第四十七条  控制内容和控制方式</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六线控制内容包括刚性管控内容和弹性引导内容。刚性管控内容在图则中应采用实线标示，是在规划实施中必须严格遵守的内容，原则上不得修改；弹性引导内容在图则中应采用虚线标示，是在规划实施中应遵照执行的标准和基础，可结合实际情况进行深化和修改。</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lastRenderedPageBreak/>
        <w:t>2.控制方式分为实线控制、虚线控制、点位控制和指标控制四种。</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（1）实线控制是指对地块或设施的位置、边界、形状、建设规模、建设内容要求原则上不予更改。</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（2）虚线控制是指对地块或设施的建设规模和建设内容不得作出更改，位置、边界、形状可以根据具体方案进行调整。</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（3）点位控制是指纳入保护或控制的规划要要素在法定文件中采用点位予与界定。点位控制的设施可在确保设施建筑规模的前提下，依附地块进行联合开发建设。</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（4）指标控制是指规划内容的控制要求采用指标予以界定，控制指标不得改变，其用地的位置和范围则可以通过下位规划落实。</w:t>
      </w:r>
    </w:p>
    <w:p w:rsidR="00DA44CC" w:rsidRDefault="00C53A1B" w:rsidP="00D43F73">
      <w:pPr>
        <w:adjustRightInd w:val="0"/>
        <w:snapToGrid w:val="0"/>
        <w:spacing w:line="56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第二节  道路红线</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第四十八条  道路红线</w:t>
      </w:r>
    </w:p>
    <w:p w:rsidR="00DA44CC" w:rsidRPr="007852A6" w:rsidRDefault="00B02005" w:rsidP="00D43F73">
      <w:pPr>
        <w:adjustRightInd w:val="0"/>
        <w:snapToGrid w:val="0"/>
        <w:spacing w:line="560" w:lineRule="exact"/>
        <w:ind w:firstLineChars="200" w:firstLine="640"/>
        <w:rPr>
          <w:rFonts w:ascii="方正仿宋简体" w:eastAsia="方正仿宋简体" w:hAnsi="宋体" w:cs="仿宋_GB2312"/>
          <w:sz w:val="32"/>
          <w:szCs w:val="32"/>
        </w:rPr>
      </w:pPr>
      <w:r w:rsidRPr="007852A6">
        <w:rPr>
          <w:rFonts w:ascii="方正仿宋简体" w:eastAsia="方正仿宋简体" w:hAnsi="宋体" w:cs="仿宋_GB2312" w:hint="eastAsia"/>
          <w:sz w:val="32"/>
          <w:szCs w:val="32"/>
        </w:rPr>
        <w:t>道路红线</w:t>
      </w:r>
      <w:r w:rsidR="00C53A1B" w:rsidRPr="007852A6">
        <w:rPr>
          <w:rFonts w:ascii="方正仿宋简体" w:eastAsia="方正仿宋简体" w:hAnsi="宋体" w:cs="仿宋_GB2312" w:hint="eastAsia"/>
          <w:sz w:val="32"/>
          <w:szCs w:val="32"/>
        </w:rPr>
        <w:t>是指公路、城市道路、铁路的用地控制界线。</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第四十九条  刚性管控和弹性引导内容</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刚性管控内容包括对城市规划布局和综合交通体系有重大影响的铁路、国省道、城市快速路、主次干路的走向及宽度，已按规划实施的铁路、公路和城市道路走向及红线宽度，城市道路等级。</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弹性引导内容包括规划铁路、公路、城市主次干路线形，城市支路走向、布局及宽度等。在规划管理时，可以结合实际情况，</w:t>
      </w:r>
      <w:r>
        <w:rPr>
          <w:rFonts w:ascii="方正仿宋简体" w:eastAsia="方正仿宋简体" w:hAnsi="宋体" w:cs="仿宋_GB2312" w:hint="eastAsia"/>
          <w:color w:val="000000"/>
          <w:sz w:val="32"/>
          <w:szCs w:val="32"/>
        </w:rPr>
        <w:lastRenderedPageBreak/>
        <w:t>在不影响交通功能、不降低路网密度的前提下进行适当的深化和调整。</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第五十条  深化内容和修改内容</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1.深化内容包含但不限于以下情形：</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（1）道路交叉口转弯半径调整；道路设施完善调整；控规批复前已审批项目控制条件一致性调整等进行技术性优化的；</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（2）结合道路建设项目，不改变规划等级、宽度及贯通性的线形调整等进行线形微调的；</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（3）与现状条件相结合，通过道路设计深化，并对周边用地条件无影响的等现状符合性调整的。</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2.调整内容包含但不限于以下情形：</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（1）城市发展需要，对街区支路网布局进行完善，加密城市支路的；</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（2）因城市重大设施建设，影响街区规划布局，需要调整道路用地控制界线的；</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（3）取消规划县乡道、城市次干路及以下道路的。</w:t>
      </w:r>
    </w:p>
    <w:p w:rsidR="00DA44CC" w:rsidRDefault="00DA44CC" w:rsidP="00D43F73">
      <w:pPr>
        <w:adjustRightInd w:val="0"/>
        <w:snapToGrid w:val="0"/>
        <w:spacing w:line="560" w:lineRule="exact"/>
        <w:jc w:val="center"/>
        <w:rPr>
          <w:rFonts w:ascii="方正黑体简体" w:eastAsia="方正黑体简体" w:hAnsi="宋体" w:cs="黑体"/>
          <w:color w:val="000000"/>
          <w:sz w:val="32"/>
          <w:szCs w:val="32"/>
        </w:rPr>
      </w:pPr>
    </w:p>
    <w:p w:rsidR="00DA44CC" w:rsidRDefault="00C53A1B" w:rsidP="00D43F73">
      <w:pPr>
        <w:adjustRightInd w:val="0"/>
        <w:snapToGrid w:val="0"/>
        <w:spacing w:line="56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第三节  城市蓝线</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第五十一条  城市蓝线</w:t>
      </w:r>
    </w:p>
    <w:p w:rsidR="00DA44CC" w:rsidRDefault="00B02005"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sidRPr="007852A6">
        <w:rPr>
          <w:rFonts w:ascii="方正仿宋简体" w:eastAsia="方正仿宋简体" w:hAnsi="宋体" w:cs="仿宋_GB2312" w:hint="eastAsia"/>
          <w:color w:val="000000"/>
          <w:sz w:val="32"/>
          <w:szCs w:val="32"/>
        </w:rPr>
        <w:t>城市蓝线</w:t>
      </w:r>
      <w:r w:rsidR="00C53A1B" w:rsidRPr="007852A6">
        <w:rPr>
          <w:rFonts w:ascii="方正仿宋简体" w:eastAsia="方正仿宋简体" w:hAnsi="宋体" w:cs="仿宋_GB2312" w:hint="eastAsia"/>
          <w:color w:val="000000"/>
          <w:sz w:val="32"/>
          <w:szCs w:val="32"/>
        </w:rPr>
        <w:t>是指地表水体保护与控制的地域界</w:t>
      </w:r>
      <w:r w:rsidRPr="007852A6">
        <w:rPr>
          <w:rFonts w:ascii="方正仿宋简体" w:eastAsia="方正仿宋简体" w:hAnsi="宋体" w:cs="仿宋_GB2312" w:hint="eastAsia"/>
          <w:color w:val="000000"/>
          <w:sz w:val="32"/>
          <w:szCs w:val="32"/>
        </w:rPr>
        <w:t>线</w:t>
      </w:r>
      <w:r w:rsidR="00C53A1B" w:rsidRPr="007852A6">
        <w:rPr>
          <w:rFonts w:ascii="方正仿宋简体" w:eastAsia="方正仿宋简体" w:hAnsi="宋体" w:cs="仿宋_GB2312" w:hint="eastAsia"/>
          <w:color w:val="000000"/>
          <w:sz w:val="32"/>
          <w:szCs w:val="32"/>
        </w:rPr>
        <w:t>，具体包括具有供水、防洪、排涝、生态等作用的河道、水库、输水线路、湿地等地表水体。</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lastRenderedPageBreak/>
        <w:t>第五十二条  刚性管控和弹性引导内容</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刚性管控内容包括河道、水库的防洪标准，已按规划实施的河道及水库保护界线，河道水体线及保护线宽度（最小水体宽度、保护带总宽度），河道水体线宽度30米及以上干流河道线形。、</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弹性引导内容包括河道水体线宽度30米以下河道线形，河道水体线宽度15米以下（含15米）河道走向及线形，规划水库相关保护控制界线。在规划管理时，可以结合实际情况进行深化和调整。</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第五十三条  深化内容和调整内容</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1.深化内容包含但不限于以下情形：</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地表水体主管部门在不改变水体防洪除涝标准的前提下，结合设计方案对地表水体微调引起的保护控制线线形调整；控规批复前已审批项目控制条件一致性调整；结合已批准的地表水体专项规划及管控措施等进行技术性优化的；</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（2）有技术支撑并经论证的，对河道水体线宽度30米以下河道，结合现状条件进行的保护控制线走向的调整以及结合已建地表水体工程的实际位置进行的控制线调整等结合现状优化的；</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（3）因城市发展需要及城市重大设施建设，有充分技术支撑并经论证的，对河道水体线宽度15米以下（含15米）保护控制线等进行走向调整的。</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2.调整内容包含但不限于以下情形：</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（1）因城市发展需要，影响街区规划布局，有充分技术支</w:t>
      </w:r>
      <w:r>
        <w:rPr>
          <w:rFonts w:ascii="方正仿宋简体" w:eastAsia="方正仿宋简体" w:hAnsi="宋体" w:cs="仿宋_GB2312" w:hint="eastAsia"/>
          <w:color w:val="000000"/>
          <w:sz w:val="32"/>
          <w:szCs w:val="32"/>
        </w:rPr>
        <w:lastRenderedPageBreak/>
        <w:t>撑并经论证的，对河道水体线宽度15米以上30米以下保护控制线线形进行调整的；</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（2）有充分技术支撑并经论证及主管部门同意，取消规划河道水体线宽度30米以下河道的。</w:t>
      </w:r>
    </w:p>
    <w:p w:rsidR="00DA44CC" w:rsidRDefault="00DA44CC" w:rsidP="00D43F73">
      <w:pPr>
        <w:adjustRightInd w:val="0"/>
        <w:snapToGrid w:val="0"/>
        <w:spacing w:line="560" w:lineRule="exact"/>
        <w:jc w:val="center"/>
        <w:rPr>
          <w:rFonts w:ascii="方正黑体简体" w:eastAsia="方正黑体简体" w:hAnsi="宋体" w:cs="黑体"/>
          <w:color w:val="000000"/>
          <w:sz w:val="32"/>
          <w:szCs w:val="32"/>
        </w:rPr>
      </w:pPr>
    </w:p>
    <w:p w:rsidR="00DA44CC" w:rsidRDefault="00C53A1B" w:rsidP="00D43F73">
      <w:pPr>
        <w:adjustRightInd w:val="0"/>
        <w:snapToGrid w:val="0"/>
        <w:spacing w:line="56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第四节  城市黄线</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第五十四条  城市黄线</w:t>
      </w:r>
    </w:p>
    <w:p w:rsidR="00DA44CC" w:rsidRDefault="00B02005"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sidRPr="007852A6">
        <w:rPr>
          <w:rFonts w:ascii="方正仿宋简体" w:eastAsia="方正仿宋简体" w:hAnsi="宋体" w:cs="仿宋_GB2312" w:hint="eastAsia"/>
          <w:color w:val="000000"/>
          <w:sz w:val="32"/>
          <w:szCs w:val="32"/>
        </w:rPr>
        <w:t>城市黄线</w:t>
      </w:r>
      <w:r w:rsidR="00C53A1B" w:rsidRPr="007852A6">
        <w:rPr>
          <w:rFonts w:ascii="方正仿宋简体" w:eastAsia="方正仿宋简体" w:hAnsi="宋体" w:cs="仿宋_GB2312" w:hint="eastAsia"/>
          <w:color w:val="000000"/>
          <w:sz w:val="32"/>
          <w:szCs w:val="32"/>
        </w:rPr>
        <w:t>是指对城市发展全局有影响的、必须控制的城市基础设施用地的控制</w:t>
      </w:r>
      <w:r w:rsidRPr="007852A6">
        <w:rPr>
          <w:rFonts w:ascii="方正仿宋简体" w:eastAsia="方正仿宋简体" w:hAnsi="宋体" w:cs="仿宋_GB2312" w:hint="eastAsia"/>
          <w:color w:val="000000"/>
          <w:sz w:val="32"/>
          <w:szCs w:val="32"/>
        </w:rPr>
        <w:t>界线</w:t>
      </w:r>
      <w:r w:rsidR="00C53A1B" w:rsidRPr="007852A6">
        <w:rPr>
          <w:rFonts w:ascii="方正仿宋简体" w:eastAsia="方正仿宋简体" w:hAnsi="宋体" w:cs="仿宋_GB2312" w:hint="eastAsia"/>
          <w:color w:val="000000"/>
          <w:sz w:val="32"/>
          <w:szCs w:val="32"/>
        </w:rPr>
        <w:t>，具体指独立占地的交通、给水、排水、热力、燃气、电力、通信、环卫、防灾等各类市政公用设施的用地界线和市政廊道用地及保护界线。</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第五十五条  刚性管控和弹性引导内容</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刚性管控内容包括对城市发展全局有影响、必须控制的城市重要基础设施位置及用地规模，规划已批准或现状保留的基础设施位置及用地，片区内基础设施功能及最小总用地规模，依据现状控制的高压输运管道、110千伏及以上高压架空线路保护走廊线位，规划控制高压（架空线路）保护走廊宽度等。</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弹性引导内容包括对位置无特殊要求的基础设施用地，规划控制的高压保护走廊走向等。在规划管理时，可以结合实际情况进行深化和调整。</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第五十六条  深化内容和调整内容</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1.深化内容包含但不限于以下情形：</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lastRenderedPageBreak/>
        <w:t>（1）有技术支撑的基础设施用地规模增加或减少；因重点工程建设的特殊需要，调整规划高压保护走廊走向等技术性优化的；</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（2）结合现状基础设施用地或已规划审批项目用地进行的调整；规划控制高压保护走廊线位与现状实测的误差引起的调整等现状符合性调整的；</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（3）因现状高压输运管道或高压电力线迁改、高压架空线路入地等引起的高压保护走廊走向调整或取消现状高压保护走廊的。</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2.调整内容包含但不限于以下情形：</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（1）因片区发展需要布局结构变化引起，有技术支撑并经论证，调整片区内基础设施的数量和规模，以及调整规划高压保护走廊走向的；</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（2）有技术支撑的并经论证，不增加基础设施实施难度，对基础设施位置及用地进行调整的；</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（3）增加城市重要基础设施的。</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第五十七条  其他规定要求</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1.调整市政基础设施位置、形状，其位置的调整应符合合理的服务半径，用地形状需符合国家规范及建设要求。</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2.现状保留、正在建设、已获得规划批复或有规划管控意图的基础设施用地为刚性管控内容，采用实线控制；其他基础设施用地采用虚线控制。</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lastRenderedPageBreak/>
        <w:t>3.新建110千伏及以下电力线路应依据电力专项规划合理确定，布置方式应当采用地下电缆，不具备入地条件的高压架空输电线路应沿道路绿化保护带、河道保护带同塔多回架设。</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4.规划高压架空线路走廊内用地在满足相关技术规范、保证安全的条件下，可用于绿化及敷设符合规范要求的市政设施。</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5.规划新建高压长输原油管道、成品油管道、长输天然气管道应当符合城市总体规划及专业专项规划要求，不得进入规划确定的城市建设用地范围之内。现状原油管道、成品油管道、长输天然气管道在城市建设用地范围的，需逐步向外迁移。</w:t>
      </w:r>
    </w:p>
    <w:p w:rsidR="00DA44CC" w:rsidRDefault="00DA44CC" w:rsidP="00D43F73">
      <w:pPr>
        <w:adjustRightInd w:val="0"/>
        <w:snapToGrid w:val="0"/>
        <w:spacing w:line="560" w:lineRule="exact"/>
        <w:jc w:val="center"/>
        <w:rPr>
          <w:rFonts w:ascii="方正黑体简体" w:eastAsia="方正黑体简体" w:hAnsi="宋体" w:cs="黑体"/>
          <w:color w:val="000000"/>
          <w:sz w:val="32"/>
          <w:szCs w:val="32"/>
        </w:rPr>
      </w:pPr>
    </w:p>
    <w:p w:rsidR="00DA44CC" w:rsidRDefault="00C53A1B" w:rsidP="00D43F73">
      <w:pPr>
        <w:adjustRightInd w:val="0"/>
        <w:snapToGrid w:val="0"/>
        <w:spacing w:line="56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第五节  城市橙线</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第五十八条  城市橙线</w:t>
      </w:r>
    </w:p>
    <w:p w:rsidR="00DA44CC" w:rsidRDefault="00B02005"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sidRPr="007852A6">
        <w:rPr>
          <w:rFonts w:ascii="方正仿宋简体" w:eastAsia="方正仿宋简体" w:hAnsi="宋体" w:cs="仿宋_GB2312" w:hint="eastAsia"/>
          <w:color w:val="000000"/>
          <w:sz w:val="32"/>
          <w:szCs w:val="32"/>
        </w:rPr>
        <w:t>城市橙线</w:t>
      </w:r>
      <w:r w:rsidR="00C53A1B" w:rsidRPr="007852A6">
        <w:rPr>
          <w:rFonts w:ascii="方正仿宋简体" w:eastAsia="方正仿宋简体" w:hAnsi="宋体" w:cs="仿宋_GB2312" w:hint="eastAsia"/>
          <w:color w:val="000000"/>
          <w:sz w:val="32"/>
          <w:szCs w:val="32"/>
        </w:rPr>
        <w:t>是指独立占地的行政办公、医疗卫生、文化、体育、社会福利和基础教育等设施用地界线以及需要进行点位控制的设施功能。</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第五十九条  刚性管控和弹性引导内容</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刚性管控内容包括各类公益性服务设施的总规模，现状保留或已明确建设的设施用地界线，规划新建或扩建各类设施等级、规模。</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弹性引导内容包括新建设施的位置和形状。在规划管理时，可以结合实际情况进行深化和调整。</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第六十条  深化内容和调整内容</w:t>
      </w:r>
    </w:p>
    <w:p w:rsidR="00DA44CC" w:rsidRDefault="00C53A1B"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lastRenderedPageBreak/>
        <w:t>1.深化内容包含但不限于以下情形：</w:t>
      </w:r>
    </w:p>
    <w:p w:rsidR="00DA44CC" w:rsidRDefault="00C53A1B"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（1）在符合公益性公共服务设施布局原则、且不影响设施使用功能和改变服务范围的前提下，可以在街区范围内，根据项目建设需要和现状实际对设施用地控制线、设施位置进行深化的；</w:t>
      </w:r>
    </w:p>
    <w:p w:rsidR="00DA44CC" w:rsidRDefault="00C53A1B"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（2）同类设施的拆分或合并，且不涉及规划技术指标调整的；</w:t>
      </w:r>
    </w:p>
    <w:p w:rsidR="00DA44CC" w:rsidRDefault="00C53A1B"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（3）因片区内部用地功能发生变化，按照合理服务半径、设施功能等技术要求，合理增加公益性公共服务设施用地规模和数量的。</w:t>
      </w:r>
    </w:p>
    <w:p w:rsidR="00DA44CC" w:rsidRDefault="00C53A1B"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2.调整内容包含但不限于以下情形：</w:t>
      </w:r>
    </w:p>
    <w:p w:rsidR="00DA44CC" w:rsidRDefault="00C53A1B"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（1）规划单独占地的公益性公共服务设施与周边经营性用地复合开发建设，不再单独占地的；</w:t>
      </w:r>
    </w:p>
    <w:p w:rsidR="00DA44CC" w:rsidRDefault="00C53A1B"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（2）点位控制的公益性公共服务设施跨街坊进行调整的；</w:t>
      </w:r>
    </w:p>
    <w:p w:rsidR="00DA44CC" w:rsidRDefault="00C53A1B"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（3）在符合公益性公共服务设施布局原则、且不影响设施使用功能和改变服务范围的前提下，可以根据项目建设需要和现状实际对公益性公共服务设施的用地控制界线、设施位置跨街区进行调整的；</w:t>
      </w:r>
    </w:p>
    <w:p w:rsidR="00DA44CC" w:rsidRDefault="00C53A1B"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（4）在保证片区主导功能不变、满足配套需求的前提下，不同公益性公共服务设施用地间进行调整的。</w:t>
      </w:r>
    </w:p>
    <w:p w:rsidR="00DA44CC" w:rsidRDefault="00DA44CC" w:rsidP="00D43F73">
      <w:pPr>
        <w:adjustRightInd w:val="0"/>
        <w:snapToGrid w:val="0"/>
        <w:spacing w:line="560" w:lineRule="exact"/>
        <w:jc w:val="center"/>
        <w:rPr>
          <w:rFonts w:ascii="方正黑体简体" w:eastAsia="方正黑体简体" w:hAnsi="宋体" w:cs="黑体"/>
          <w:color w:val="000000"/>
          <w:sz w:val="32"/>
          <w:szCs w:val="32"/>
        </w:rPr>
      </w:pPr>
    </w:p>
    <w:p w:rsidR="00DA44CC" w:rsidRDefault="00C53A1B" w:rsidP="00B63AD6">
      <w:pPr>
        <w:adjustRightInd w:val="0"/>
        <w:snapToGrid w:val="0"/>
        <w:spacing w:line="54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第六节  城市绿线</w:t>
      </w:r>
    </w:p>
    <w:p w:rsidR="00DA44CC" w:rsidRDefault="00C53A1B" w:rsidP="00B63AD6">
      <w:pPr>
        <w:adjustRightInd w:val="0"/>
        <w:snapToGrid w:val="0"/>
        <w:spacing w:line="54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 xml:space="preserve">第六十一条  </w:t>
      </w:r>
      <w:r w:rsidR="00E55415">
        <w:rPr>
          <w:rFonts w:ascii="方正黑体简体" w:eastAsia="方正黑体简体" w:hAnsi="宋体" w:cs="黑体" w:hint="eastAsia"/>
          <w:color w:val="000000"/>
          <w:sz w:val="32"/>
          <w:szCs w:val="32"/>
        </w:rPr>
        <w:t>城市绿线</w:t>
      </w:r>
    </w:p>
    <w:p w:rsidR="00DA44CC" w:rsidRDefault="00E55415"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sidRPr="007852A6">
        <w:rPr>
          <w:rFonts w:ascii="方正仿宋简体" w:eastAsia="方正仿宋简体" w:hAnsi="宋体" w:cs="仿宋_GB2312" w:hint="eastAsia"/>
          <w:color w:val="000000"/>
          <w:sz w:val="32"/>
          <w:szCs w:val="32"/>
        </w:rPr>
        <w:t>城市绿线</w:t>
      </w:r>
      <w:r w:rsidR="00C53A1B" w:rsidRPr="007852A6">
        <w:rPr>
          <w:rFonts w:ascii="方正仿宋简体" w:eastAsia="方正仿宋简体" w:hAnsi="宋体" w:cs="仿宋_GB2312" w:hint="eastAsia"/>
          <w:color w:val="000000"/>
          <w:sz w:val="32"/>
          <w:szCs w:val="32"/>
        </w:rPr>
        <w:t>是指城市各类用地范围得控制线，具体是指各类公</w:t>
      </w:r>
      <w:r w:rsidR="00C53A1B" w:rsidRPr="007852A6">
        <w:rPr>
          <w:rFonts w:ascii="方正仿宋简体" w:eastAsia="方正仿宋简体" w:hAnsi="宋体" w:cs="仿宋_GB2312" w:hint="eastAsia"/>
          <w:color w:val="000000"/>
          <w:sz w:val="32"/>
          <w:szCs w:val="32"/>
        </w:rPr>
        <w:lastRenderedPageBreak/>
        <w:t>园绿地、防护绿地、广场用地的范围界线。</w:t>
      </w:r>
    </w:p>
    <w:p w:rsidR="00DA44CC" w:rsidRDefault="00C53A1B" w:rsidP="00B63AD6">
      <w:pPr>
        <w:adjustRightInd w:val="0"/>
        <w:snapToGrid w:val="0"/>
        <w:spacing w:line="54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第六十二条  刚性管控和弹性引导内容</w:t>
      </w:r>
    </w:p>
    <w:p w:rsidR="00DA44CC" w:rsidRDefault="00C53A1B"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刚性管控内容包括各类绿地的总规模，现状保留、已划定绿线或已明确建设的各类绿地界线，规划新建或扩建各类绿地的等级、规模。</w:t>
      </w:r>
    </w:p>
    <w:p w:rsidR="00DA44CC" w:rsidRDefault="00C53A1B"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弹性引导内容包括规划新建公共绿地、防护绿地、广场的位置和形状。在规划管理时，可以结合实际情况进行深化和调整。</w:t>
      </w:r>
    </w:p>
    <w:p w:rsidR="00DA44CC" w:rsidRDefault="00C53A1B" w:rsidP="00B63AD6">
      <w:pPr>
        <w:adjustRightInd w:val="0"/>
        <w:snapToGrid w:val="0"/>
        <w:spacing w:line="54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第六十三条  深化内容和调整内容</w:t>
      </w:r>
    </w:p>
    <w:p w:rsidR="00DA44CC" w:rsidRDefault="00C53A1B"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1.深化内容包含但不限于以下情形：</w:t>
      </w:r>
    </w:p>
    <w:p w:rsidR="00DA44CC" w:rsidRDefault="00C53A1B"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（1）在不影响绿地使用功能和服务范围的前提下，可在街区范围内根据项目建设需要和现状实际对各类绿地位置和用地控制线进行深化的；</w:t>
      </w:r>
    </w:p>
    <w:p w:rsidR="00DA44CC" w:rsidRDefault="00C53A1B"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（2）因片区内部用地功能发生变化，新增各类绿地的；</w:t>
      </w:r>
    </w:p>
    <w:p w:rsidR="00DA44CC" w:rsidRDefault="00C53A1B"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（3）在保证等级和规模不变的前提下，在街区范围内调整十五分钟生活圈级居住区及以下各类绿地的位置和范围的；</w:t>
      </w:r>
    </w:p>
    <w:p w:rsidR="00DA44CC" w:rsidRDefault="00C53A1B"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（4）同类绿地间的拆分或合并，且不涉及规划技术指标调整的；</w:t>
      </w:r>
    </w:p>
    <w:p w:rsidR="00DA44CC" w:rsidRDefault="00C53A1B"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（5）因规划道路、铁路、水系、高压线及输油输气管线走廊的调整或取消，调整或取消其两侧绿化带、防护绿地的。</w:t>
      </w:r>
    </w:p>
    <w:p w:rsidR="00DA44CC" w:rsidRDefault="00C53A1B"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2.调整内容包含但不限于以下情形：</w:t>
      </w:r>
    </w:p>
    <w:p w:rsidR="00DA44CC" w:rsidRDefault="00C53A1B" w:rsidP="00B63AD6">
      <w:pPr>
        <w:adjustRightInd w:val="0"/>
        <w:snapToGrid w:val="0"/>
        <w:spacing w:line="54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在保证各类绿地等级和总规模不变的前提下，对十五分钟生活圈级居住区及以下各类绿地的规模、位置进行跨街区调整的。</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第六十四条  道路绿线管控</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lastRenderedPageBreak/>
        <w:t>对已经审批的项目，应按照原审批方案执行；对现状保留的地块，应按照规划绿线预控，土地收储时按照规划绿线执行。</w:t>
      </w:r>
    </w:p>
    <w:p w:rsidR="00DA44CC" w:rsidRDefault="00DA44CC" w:rsidP="00D43F73">
      <w:pPr>
        <w:adjustRightInd w:val="0"/>
        <w:snapToGrid w:val="0"/>
        <w:spacing w:line="560" w:lineRule="exact"/>
        <w:jc w:val="center"/>
        <w:rPr>
          <w:rFonts w:ascii="方正黑体简体" w:eastAsia="方正黑体简体" w:hAnsi="宋体" w:cs="黑体"/>
          <w:color w:val="000000"/>
          <w:sz w:val="32"/>
          <w:szCs w:val="32"/>
        </w:rPr>
      </w:pPr>
    </w:p>
    <w:p w:rsidR="00DA44CC" w:rsidRDefault="00C53A1B" w:rsidP="00D43F73">
      <w:pPr>
        <w:adjustRightInd w:val="0"/>
        <w:snapToGrid w:val="0"/>
        <w:spacing w:line="56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第七节  城市紫线</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第六十五条  城市紫线</w:t>
      </w:r>
    </w:p>
    <w:p w:rsidR="00DA44CC" w:rsidRDefault="00E55415"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城市紫线</w:t>
      </w:r>
      <w:r w:rsidR="00C53A1B">
        <w:rPr>
          <w:rFonts w:ascii="方正仿宋简体" w:eastAsia="方正仿宋简体" w:hAnsi="宋体" w:cs="仿宋_GB2312" w:hint="eastAsia"/>
          <w:color w:val="000000"/>
          <w:sz w:val="32"/>
          <w:szCs w:val="32"/>
        </w:rPr>
        <w:t>是指省人民政府公布的历史文化街区的保护范围界限、以及历史文化街区外经县级以上人民政府公布保护的历史建筑的保护范围界</w:t>
      </w:r>
      <w:r>
        <w:rPr>
          <w:rFonts w:ascii="方正仿宋简体" w:eastAsia="方正仿宋简体" w:hAnsi="宋体" w:cs="仿宋_GB2312" w:hint="eastAsia"/>
          <w:color w:val="000000"/>
          <w:sz w:val="32"/>
          <w:szCs w:val="32"/>
        </w:rPr>
        <w:t>线</w:t>
      </w:r>
      <w:r w:rsidR="00C53A1B">
        <w:rPr>
          <w:rFonts w:ascii="方正仿宋简体" w:eastAsia="方正仿宋简体" w:hAnsi="宋体" w:cs="仿宋_GB2312" w:hint="eastAsia"/>
          <w:color w:val="000000"/>
          <w:sz w:val="32"/>
          <w:szCs w:val="32"/>
        </w:rPr>
        <w:t>。</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第六十六条  刚性管控和弹性引导内容</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历史文化资源保护控制线的刚性管控内容包括各级文物保护单位、地下文物保护区、历史建筑的保护范围与保护控制要求。</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历史文化资源保护控制线的弹性引导内容包括文物保护单位、地下文物保护区、历史建筑的建设控制地带与建设控制要求。</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第六十七条  其他规定要求</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历史文化资源保护控制线范围、保护和建设控制要求应严格落实，涉及各级文物保护单位、地下文物保护区的相关规划建设需满足国家及省市文物保护的法律法规；涉及历史建筑的相关规划建设需满足历史建筑保护管理办法、保护图则和技术规定要求；并履行相应的规划审查程序。</w:t>
      </w:r>
    </w:p>
    <w:p w:rsidR="00DA44CC" w:rsidRDefault="00DA44CC"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p>
    <w:p w:rsidR="00DA44CC" w:rsidRDefault="00C53A1B" w:rsidP="00D43F73">
      <w:pPr>
        <w:adjustRightInd w:val="0"/>
        <w:snapToGrid w:val="0"/>
        <w:spacing w:line="560" w:lineRule="exact"/>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第七章  街区与地块控制</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第六十八条  街区刚性管控内容</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lastRenderedPageBreak/>
        <w:t>街区刚性管控内容主要包括主导属性、建设用地规模、公园绿地面积、配套设施、基准容积率等。</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第六十九条  街区主导属性</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主导属性是对街区主导性质的概括与描述。街区主导性质的用地规模一般应占街区用地规模的50%以上。主导属性含有两个或两个以上用地性质时，原则上每一类用地性质的用地规模应占街区用地规模的20%以上。大型基础设施或市政设施等特殊街区可根据实际情况适当调整所占比例。</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第七十条  街区建设用地规模</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街区内建设用地面积总和，原则上街区内非建设用地不可调整为建设用地。</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第七十一条  街区公园绿地面积</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街区内公园绿地的面积总和。原则上街区内公园绿地总面积不得减少。</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第七十二条  街区配套设施</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是服务于本街区及周边街区的公共服务设施和基础设施。独立占地的配套设施应不小于标明占地规模。</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第七十三条  街区基准容积率</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是各类建设用地在本街区建设强度的基准值。居住用地、商业服务业设施用地、公共管理与公共服务设施用地和工业仓储用地应在规划确定的基准容积率基础上，根据本通则第三章的要求综合确定地块额定容积率。原则上，建设项目容积率不超过额定</w:t>
      </w:r>
      <w:r>
        <w:rPr>
          <w:rFonts w:ascii="方正仿宋简体" w:eastAsia="方正仿宋简体" w:hAnsi="宋体" w:cs="仿宋_GB2312" w:hint="eastAsia"/>
          <w:color w:val="000000"/>
          <w:sz w:val="32"/>
          <w:szCs w:val="32"/>
        </w:rPr>
        <w:lastRenderedPageBreak/>
        <w:t>容积率上限。</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第七十四条  地块划分原则</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在尊重建设项目原有土地权属、行政区划等，保持用地性质的完整性、协调性及可实施性的基础上，在具体项目建设中，可根据实际情况对地块进行合并或对地块进行细分。土地细分或合并时，合并或拆分地块的控制要求应满足：</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（1）用地构成比例与原规划基本相同。</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（2）绿地、广场、公益设施用地等不应减少用地规模。</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（3）地块细化分割或合并，但分割或合并后地块建设总量和之前保持不变。</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（4）建筑限高应不大于合并前各地块的建筑限高。</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（5）细分后的用地大小符合用地最小规模控制要求。</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第七十五条  用地规模控制</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以改善人居环境为目标，应适当控制建设项目建设用地的规模。建设用地未达到下列最小面积的，不应独立建设：居住项目用地规模原则上不得小于3000平方米，商业服务业设施用地规模不得小于1500平方米。</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第七十六条  零星建设用地</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建设用地未达到前条规定的最小面积，但有下列特殊情况之一，经市自然资源和规划主管部门确定不妨碍城市规划实施的，可予核准建设：</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（1）邻接土地为既成道路、河道或其他类似情况，确实无</w:t>
      </w:r>
      <w:r>
        <w:rPr>
          <w:rFonts w:ascii="方正仿宋简体" w:eastAsia="方正仿宋简体" w:hAnsi="宋体" w:cs="仿宋_GB2312" w:hint="eastAsia"/>
          <w:color w:val="000000"/>
          <w:sz w:val="32"/>
          <w:szCs w:val="32"/>
        </w:rPr>
        <w:lastRenderedPageBreak/>
        <w:t>法调整、合并的。</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（2）因城市规划街区划分、市政公用设施等限制，确实无法调整、合并的。</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（3）社区配套用房、垃圾收集和中转、变配电房、泵房、公厕、调压站等涉及社会公益性的建设项目。</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（4）受地籍产权、道路等限制的旧城更新以及棚户区改造项目。</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第七十七条  地块其他控制</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用地的建筑密度、绿地率、建筑退让用地边界、建筑间距、停车泊位、道路退让等指标控制应符合《济宁市绿化条例》《济宁市城乡规划管理技术规定》的要求。</w:t>
      </w:r>
    </w:p>
    <w:p w:rsidR="00DA44CC" w:rsidRDefault="00DA44CC"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p>
    <w:p w:rsidR="00DA44CC" w:rsidRDefault="00C53A1B" w:rsidP="00D43F73">
      <w:pPr>
        <w:adjustRightInd w:val="0"/>
        <w:snapToGrid w:val="0"/>
        <w:spacing w:line="560" w:lineRule="exact"/>
        <w:ind w:firstLineChars="200" w:firstLine="640"/>
        <w:jc w:val="center"/>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第八章  附则</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第七十八条  动态更新</w:t>
      </w:r>
    </w:p>
    <w:p w:rsidR="00DA44CC" w:rsidRDefault="00C53A1B"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根据使用中出现的具体情况，市自然资源和规划主管部门及时增补和完善本通则，适时进行修订并报市政府备案。</w:t>
      </w:r>
    </w:p>
    <w:p w:rsidR="007A6E6D" w:rsidRDefault="007A6E6D"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第七十九条  用词说明：</w:t>
      </w:r>
    </w:p>
    <w:p w:rsidR="007A6E6D" w:rsidRDefault="007A6E6D"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1.为便于在执行本通则时区别对待，对要求严格程度不同的用词说明如下：</w:t>
      </w:r>
    </w:p>
    <w:p w:rsidR="007A6E6D" w:rsidRDefault="007A6E6D"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（1）表示很严格，非这样做不可的用词：</w:t>
      </w:r>
    </w:p>
    <w:p w:rsidR="007A6E6D" w:rsidRDefault="007A6E6D"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正面词采用“必须”或“须”；反面词采用“严禁”或“禁止”。</w:t>
      </w:r>
    </w:p>
    <w:p w:rsidR="007A6E6D" w:rsidRDefault="007A6E6D"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lastRenderedPageBreak/>
        <w:t>（2）表示严格，在正常情况下均应这样做的用词：</w:t>
      </w:r>
    </w:p>
    <w:p w:rsidR="007A6E6D" w:rsidRDefault="007A6E6D"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正面词采用“应该”或“应”；反面词采用“不应”或“不得”。</w:t>
      </w:r>
    </w:p>
    <w:p w:rsidR="007A6E6D" w:rsidRDefault="007A6E6D"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（3）表示允许稍有选择，在条件许可时首先这样做的：</w:t>
      </w:r>
    </w:p>
    <w:p w:rsidR="007A6E6D" w:rsidRDefault="007A6E6D"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正面词采用“宜”，反面词采用“不宜”；</w:t>
      </w:r>
    </w:p>
    <w:p w:rsidR="007A6E6D" w:rsidRDefault="007A6E6D"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（4）表示有选择，在一定条件下可以这样做的，采用“可”。</w:t>
      </w:r>
    </w:p>
    <w:p w:rsidR="007A6E6D" w:rsidRDefault="007A6E6D" w:rsidP="00D43F73">
      <w:pPr>
        <w:adjustRightInd w:val="0"/>
        <w:snapToGrid w:val="0"/>
        <w:spacing w:line="56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2.条文中指明应按其他有关标准执行的写法为：“应按……执行”或“应符合……规定”。</w:t>
      </w:r>
    </w:p>
    <w:p w:rsidR="00DA44CC" w:rsidRDefault="00C53A1B"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w:t>
      </w:r>
      <w:r w:rsidR="007A6E6D">
        <w:rPr>
          <w:rFonts w:ascii="方正黑体简体" w:eastAsia="方正黑体简体" w:hAnsi="宋体" w:cs="黑体" w:hint="eastAsia"/>
          <w:color w:val="000000"/>
          <w:sz w:val="32"/>
          <w:szCs w:val="32"/>
        </w:rPr>
        <w:t>八十</w:t>
      </w:r>
      <w:r>
        <w:rPr>
          <w:rFonts w:ascii="方正黑体简体" w:eastAsia="方正黑体简体" w:hAnsi="宋体" w:cs="黑体" w:hint="eastAsia"/>
          <w:color w:val="000000"/>
          <w:sz w:val="32"/>
          <w:szCs w:val="32"/>
        </w:rPr>
        <w:t>条</w:t>
      </w:r>
      <w:r w:rsidR="00D43F73">
        <w:rPr>
          <w:rFonts w:ascii="方正黑体简体" w:eastAsia="方正黑体简体" w:hAnsi="宋体" w:cs="黑体" w:hint="eastAsia"/>
          <w:color w:val="000000"/>
          <w:sz w:val="32"/>
          <w:szCs w:val="32"/>
        </w:rPr>
        <w:t xml:space="preserve">　　</w:t>
      </w:r>
      <w:r>
        <w:rPr>
          <w:rFonts w:ascii="方正黑体简体" w:eastAsia="方正黑体简体" w:hAnsi="宋体" w:cs="黑体" w:hint="eastAsia"/>
          <w:color w:val="000000"/>
          <w:sz w:val="32"/>
          <w:szCs w:val="32"/>
        </w:rPr>
        <w:t>本通则由市自然资源和规划主管部门负责解释。</w:t>
      </w:r>
    </w:p>
    <w:p w:rsidR="007A6E6D" w:rsidRPr="007A6E6D" w:rsidRDefault="007A6E6D" w:rsidP="00D43F73">
      <w:pPr>
        <w:adjustRightInd w:val="0"/>
        <w:snapToGrid w:val="0"/>
        <w:spacing w:line="56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t>第八十</w:t>
      </w:r>
      <w:r w:rsidR="006C3635">
        <w:rPr>
          <w:rFonts w:ascii="方正黑体简体" w:eastAsia="方正黑体简体" w:hAnsi="宋体" w:cs="黑体" w:hint="eastAsia"/>
          <w:color w:val="000000"/>
          <w:sz w:val="32"/>
          <w:szCs w:val="32"/>
        </w:rPr>
        <w:t>一</w:t>
      </w:r>
      <w:r>
        <w:rPr>
          <w:rFonts w:ascii="方正黑体简体" w:eastAsia="方正黑体简体" w:hAnsi="宋体" w:cs="黑体" w:hint="eastAsia"/>
          <w:color w:val="000000"/>
          <w:sz w:val="32"/>
          <w:szCs w:val="32"/>
        </w:rPr>
        <w:t xml:space="preserve">条  </w:t>
      </w:r>
      <w:r w:rsidRPr="007A6E6D">
        <w:rPr>
          <w:rFonts w:ascii="方正黑体简体" w:eastAsia="方正黑体简体" w:hAnsi="宋体" w:cs="黑体" w:hint="eastAsia"/>
          <w:color w:val="000000"/>
          <w:sz w:val="32"/>
          <w:szCs w:val="32"/>
        </w:rPr>
        <w:t>本规定自2020年</w:t>
      </w:r>
      <w:r w:rsidRPr="007A6E6D">
        <w:rPr>
          <w:rFonts w:ascii="方正黑体简体" w:eastAsia="方正黑体简体" w:hAnsi="宋体" w:cs="黑体"/>
          <w:color w:val="000000"/>
          <w:sz w:val="32"/>
          <w:szCs w:val="32"/>
        </w:rPr>
        <w:t>7</w:t>
      </w:r>
      <w:r w:rsidRPr="007A6E6D">
        <w:rPr>
          <w:rFonts w:ascii="方正黑体简体" w:eastAsia="方正黑体简体" w:hAnsi="宋体" w:cs="黑体" w:hint="eastAsia"/>
          <w:color w:val="000000"/>
          <w:sz w:val="32"/>
          <w:szCs w:val="32"/>
        </w:rPr>
        <w:t>月</w:t>
      </w:r>
      <w:r w:rsidRPr="007A6E6D">
        <w:rPr>
          <w:rFonts w:ascii="方正黑体简体" w:eastAsia="方正黑体简体" w:hAnsi="宋体" w:cs="黑体"/>
          <w:color w:val="000000"/>
          <w:sz w:val="32"/>
          <w:szCs w:val="32"/>
        </w:rPr>
        <w:t>1</w:t>
      </w:r>
      <w:r w:rsidRPr="007A6E6D">
        <w:rPr>
          <w:rFonts w:ascii="方正黑体简体" w:eastAsia="方正黑体简体" w:hAnsi="宋体" w:cs="黑体" w:hint="eastAsia"/>
          <w:color w:val="000000"/>
          <w:sz w:val="32"/>
          <w:szCs w:val="32"/>
        </w:rPr>
        <w:t>日起施行，有效期3年。</w:t>
      </w:r>
    </w:p>
    <w:p w:rsidR="007A6E6D" w:rsidRDefault="007A6E6D" w:rsidP="00E55415">
      <w:pPr>
        <w:adjustRightInd w:val="0"/>
        <w:snapToGrid w:val="0"/>
        <w:spacing w:line="600" w:lineRule="exact"/>
        <w:rPr>
          <w:rFonts w:ascii="方正仿宋简体" w:eastAsia="方正仿宋简体" w:hAnsi="宋体" w:cs="仿宋_GB2312"/>
          <w:color w:val="000000"/>
          <w:sz w:val="32"/>
          <w:szCs w:val="32"/>
        </w:rPr>
      </w:pPr>
    </w:p>
    <w:p w:rsidR="007852A6" w:rsidRDefault="007852A6" w:rsidP="00E55415">
      <w:pPr>
        <w:adjustRightInd w:val="0"/>
        <w:snapToGrid w:val="0"/>
        <w:spacing w:line="600" w:lineRule="exact"/>
        <w:rPr>
          <w:rFonts w:ascii="方正仿宋简体" w:eastAsia="方正仿宋简体" w:hAnsi="宋体" w:cs="仿宋_GB2312"/>
          <w:color w:val="000000"/>
          <w:sz w:val="32"/>
          <w:szCs w:val="32"/>
        </w:rPr>
      </w:pPr>
    </w:p>
    <w:p w:rsidR="007852A6" w:rsidRDefault="007852A6" w:rsidP="00E55415">
      <w:pPr>
        <w:adjustRightInd w:val="0"/>
        <w:snapToGrid w:val="0"/>
        <w:spacing w:line="600" w:lineRule="exact"/>
        <w:rPr>
          <w:rFonts w:ascii="方正仿宋简体" w:eastAsia="方正仿宋简体" w:hAnsi="宋体" w:cs="仿宋_GB2312"/>
          <w:color w:val="000000"/>
          <w:sz w:val="32"/>
          <w:szCs w:val="32"/>
        </w:rPr>
      </w:pPr>
    </w:p>
    <w:p w:rsidR="00DA44CC" w:rsidRDefault="00C53A1B" w:rsidP="007852A6">
      <w:pPr>
        <w:widowControl/>
        <w:rPr>
          <w:rFonts w:ascii="方正仿宋简体" w:eastAsia="方正仿宋简体" w:hAnsi="宋体" w:cs="仿宋_GB2312"/>
          <w:color w:val="000000"/>
          <w:sz w:val="32"/>
          <w:szCs w:val="32"/>
        </w:rPr>
      </w:pPr>
      <w:r>
        <w:rPr>
          <w:rFonts w:ascii="方正仿宋简体" w:eastAsia="方正仿宋简体" w:hAnsi="宋体" w:cs="仿宋_GB2312"/>
          <w:color w:val="000000"/>
          <w:sz w:val="32"/>
          <w:szCs w:val="32"/>
        </w:rPr>
        <w:br w:type="page"/>
      </w:r>
    </w:p>
    <w:p w:rsidR="00DA44CC" w:rsidRDefault="00C53A1B">
      <w:pPr>
        <w:adjustRightInd w:val="0"/>
        <w:snapToGrid w:val="0"/>
        <w:spacing w:line="600" w:lineRule="exact"/>
        <w:ind w:firstLineChars="200" w:firstLine="640"/>
        <w:rPr>
          <w:rFonts w:ascii="方正黑体简体" w:eastAsia="方正黑体简体" w:hAnsi="宋体" w:cs="黑体"/>
          <w:color w:val="000000"/>
          <w:sz w:val="32"/>
          <w:szCs w:val="32"/>
        </w:rPr>
      </w:pPr>
      <w:r>
        <w:rPr>
          <w:rFonts w:ascii="方正黑体简体" w:eastAsia="方正黑体简体" w:hAnsi="宋体" w:cs="黑体" w:hint="eastAsia"/>
          <w:color w:val="000000"/>
          <w:sz w:val="32"/>
          <w:szCs w:val="32"/>
        </w:rPr>
        <w:lastRenderedPageBreak/>
        <w:t>附录：名词解释</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1.中心城区：是指《济宁市城市总体规划（2014—2030）》中规定：城市发展的核心地区，包括规划建设用地和近郊地区，是实施城市人口与用地管控的范围，总面积约950平方公里。</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2.容积率： 指一定地块内，总计容建筑面积与总用地面积的比值。</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3.建筑密度：指一定地块内，所有建筑物的基底总面积占用地面积的比率（%）。</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4.绿地率：指一定地块内，各类绿地面积的总和占总用地面积的比率(％)。</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5.专项规划：指综合交通、历史文化名城、城市更新和旧城改造、教育设施、地下空间等专项规划和其他涉及空间布局与土地利用的专项规划。</w:t>
      </w:r>
    </w:p>
    <w:p w:rsidR="00DA44CC" w:rsidRDefault="00C53A1B">
      <w:pPr>
        <w:adjustRightInd w:val="0"/>
        <w:snapToGrid w:val="0"/>
        <w:spacing w:line="600" w:lineRule="exact"/>
        <w:ind w:firstLineChars="200" w:firstLine="640"/>
        <w:rPr>
          <w:rFonts w:ascii="方正仿宋简体" w:eastAsia="方正仿宋简体" w:hAnsi="宋体" w:cs="仿宋_GB2312"/>
          <w:color w:val="000000"/>
          <w:sz w:val="32"/>
          <w:szCs w:val="32"/>
        </w:rPr>
      </w:pPr>
      <w:r>
        <w:rPr>
          <w:rFonts w:ascii="方正仿宋简体" w:eastAsia="方正仿宋简体" w:hAnsi="宋体" w:cs="仿宋_GB2312" w:hint="eastAsia"/>
          <w:color w:val="000000"/>
          <w:sz w:val="32"/>
          <w:szCs w:val="32"/>
        </w:rPr>
        <w:t>6.城市主要景观河道：主要指京杭运河、老运河、小府河、小</w:t>
      </w:r>
      <w:r>
        <w:rPr>
          <w:rFonts w:ascii="宋体" w:hAnsi="宋体" w:cs="宋体" w:hint="eastAsia"/>
          <w:color w:val="000000"/>
          <w:sz w:val="32"/>
          <w:szCs w:val="32"/>
        </w:rPr>
        <w:t>洸</w:t>
      </w:r>
      <w:r>
        <w:rPr>
          <w:rFonts w:ascii="方正仿宋简体" w:eastAsia="方正仿宋简体" w:hAnsi="方正仿宋简体" w:cs="方正仿宋简体" w:hint="eastAsia"/>
          <w:color w:val="000000"/>
          <w:sz w:val="32"/>
          <w:szCs w:val="32"/>
        </w:rPr>
        <w:t>河、越河、任城河、蓼河、大安河、兖州护城河</w:t>
      </w:r>
      <w:r>
        <w:rPr>
          <w:rFonts w:ascii="方正仿宋简体" w:eastAsia="方正仿宋简体" w:hAnsi="宋体" w:cs="仿宋_GB2312" w:hint="eastAsia"/>
          <w:color w:val="000000"/>
          <w:sz w:val="32"/>
          <w:szCs w:val="32"/>
        </w:rPr>
        <w:t>。</w:t>
      </w:r>
    </w:p>
    <w:p w:rsidR="00DA44CC" w:rsidRDefault="00DA44CC">
      <w:pPr>
        <w:adjustRightInd w:val="0"/>
        <w:snapToGrid w:val="0"/>
        <w:spacing w:line="600" w:lineRule="exact"/>
        <w:ind w:firstLineChars="100" w:firstLine="280"/>
        <w:rPr>
          <w:rFonts w:ascii="方正黑体简体" w:eastAsia="方正黑体简体"/>
          <w:sz w:val="28"/>
          <w:szCs w:val="28"/>
        </w:rPr>
      </w:pPr>
    </w:p>
    <w:p w:rsidR="00DA44CC" w:rsidRDefault="00DA44CC">
      <w:pPr>
        <w:adjustRightInd w:val="0"/>
        <w:snapToGrid w:val="0"/>
        <w:spacing w:line="600" w:lineRule="exact"/>
        <w:ind w:firstLineChars="100" w:firstLine="280"/>
        <w:rPr>
          <w:rFonts w:ascii="方正黑体简体" w:eastAsia="方正黑体简体"/>
          <w:sz w:val="28"/>
          <w:szCs w:val="28"/>
        </w:rPr>
      </w:pPr>
    </w:p>
    <w:p w:rsidR="00D43F73" w:rsidRDefault="00D43F73">
      <w:pPr>
        <w:adjustRightInd w:val="0"/>
        <w:snapToGrid w:val="0"/>
        <w:spacing w:line="600" w:lineRule="exact"/>
        <w:ind w:firstLineChars="100" w:firstLine="280"/>
        <w:rPr>
          <w:rFonts w:ascii="方正黑体简体" w:eastAsia="方正黑体简体"/>
          <w:sz w:val="28"/>
          <w:szCs w:val="28"/>
        </w:rPr>
        <w:sectPr w:rsidR="00D43F73">
          <w:footerReference w:type="even" r:id="rId11"/>
          <w:pgSz w:w="11906" w:h="16838"/>
          <w:pgMar w:top="2155" w:right="1474" w:bottom="2041" w:left="1588" w:header="851" w:footer="1587" w:gutter="0"/>
          <w:cols w:space="0"/>
          <w:docGrid w:type="linesAndChars" w:linePitch="312"/>
        </w:sectPr>
      </w:pPr>
      <w:bookmarkStart w:id="9" w:name="_GoBack"/>
      <w:bookmarkEnd w:id="9"/>
    </w:p>
    <w:p w:rsidR="00DA44CC" w:rsidRDefault="00DA44CC">
      <w:pPr>
        <w:adjustRightInd w:val="0"/>
        <w:snapToGrid w:val="0"/>
        <w:spacing w:line="600" w:lineRule="exact"/>
        <w:ind w:firstLineChars="100" w:firstLine="280"/>
        <w:rPr>
          <w:rFonts w:ascii="方正黑体简体" w:eastAsia="方正黑体简体"/>
          <w:sz w:val="28"/>
          <w:szCs w:val="28"/>
        </w:rPr>
      </w:pPr>
    </w:p>
    <w:p w:rsidR="00D43F73" w:rsidRDefault="00D43F73">
      <w:pPr>
        <w:adjustRightInd w:val="0"/>
        <w:snapToGrid w:val="0"/>
        <w:spacing w:line="600" w:lineRule="exact"/>
        <w:ind w:firstLineChars="100" w:firstLine="280"/>
        <w:rPr>
          <w:rFonts w:ascii="方正黑体简体" w:eastAsia="方正黑体简体"/>
          <w:sz w:val="28"/>
          <w:szCs w:val="28"/>
        </w:rPr>
      </w:pPr>
    </w:p>
    <w:p w:rsidR="00D43F73" w:rsidRDefault="00D43F73">
      <w:pPr>
        <w:adjustRightInd w:val="0"/>
        <w:snapToGrid w:val="0"/>
        <w:spacing w:line="600" w:lineRule="exact"/>
        <w:ind w:firstLineChars="100" w:firstLine="280"/>
        <w:rPr>
          <w:rFonts w:ascii="方正黑体简体" w:eastAsia="方正黑体简体"/>
          <w:sz w:val="28"/>
          <w:szCs w:val="28"/>
        </w:rPr>
      </w:pPr>
    </w:p>
    <w:p w:rsidR="00D43F73" w:rsidRDefault="00D43F73">
      <w:pPr>
        <w:adjustRightInd w:val="0"/>
        <w:snapToGrid w:val="0"/>
        <w:spacing w:line="600" w:lineRule="exact"/>
        <w:ind w:firstLineChars="100" w:firstLine="280"/>
        <w:rPr>
          <w:rFonts w:ascii="方正黑体简体" w:eastAsia="方正黑体简体"/>
          <w:sz w:val="28"/>
          <w:szCs w:val="28"/>
        </w:rPr>
      </w:pPr>
    </w:p>
    <w:p w:rsidR="00D43F73" w:rsidRDefault="00D43F73">
      <w:pPr>
        <w:adjustRightInd w:val="0"/>
        <w:snapToGrid w:val="0"/>
        <w:spacing w:line="600" w:lineRule="exact"/>
        <w:ind w:firstLineChars="100" w:firstLine="280"/>
        <w:rPr>
          <w:rFonts w:ascii="方正黑体简体" w:eastAsia="方正黑体简体"/>
          <w:sz w:val="28"/>
          <w:szCs w:val="28"/>
        </w:rPr>
      </w:pPr>
    </w:p>
    <w:p w:rsidR="00D43F73" w:rsidRDefault="00D43F73">
      <w:pPr>
        <w:adjustRightInd w:val="0"/>
        <w:snapToGrid w:val="0"/>
        <w:spacing w:line="600" w:lineRule="exact"/>
        <w:ind w:firstLineChars="100" w:firstLine="280"/>
        <w:rPr>
          <w:rFonts w:ascii="方正黑体简体" w:eastAsia="方正黑体简体"/>
          <w:sz w:val="28"/>
          <w:szCs w:val="28"/>
        </w:rPr>
      </w:pPr>
    </w:p>
    <w:p w:rsidR="00D43F73" w:rsidRDefault="00D43F73">
      <w:pPr>
        <w:adjustRightInd w:val="0"/>
        <w:snapToGrid w:val="0"/>
        <w:spacing w:line="600" w:lineRule="exact"/>
        <w:ind w:firstLineChars="100" w:firstLine="280"/>
        <w:rPr>
          <w:rFonts w:ascii="方正黑体简体" w:eastAsia="方正黑体简体"/>
          <w:sz w:val="28"/>
          <w:szCs w:val="28"/>
        </w:rPr>
      </w:pPr>
    </w:p>
    <w:p w:rsidR="00D43F73" w:rsidRDefault="00D43F73">
      <w:pPr>
        <w:adjustRightInd w:val="0"/>
        <w:snapToGrid w:val="0"/>
        <w:spacing w:line="600" w:lineRule="exact"/>
        <w:ind w:firstLineChars="100" w:firstLine="280"/>
        <w:rPr>
          <w:rFonts w:ascii="方正黑体简体" w:eastAsia="方正黑体简体"/>
          <w:sz w:val="28"/>
          <w:szCs w:val="28"/>
        </w:rPr>
      </w:pPr>
    </w:p>
    <w:p w:rsidR="00D43F73" w:rsidRDefault="00D43F73">
      <w:pPr>
        <w:adjustRightInd w:val="0"/>
        <w:snapToGrid w:val="0"/>
        <w:spacing w:line="600" w:lineRule="exact"/>
        <w:ind w:firstLineChars="100" w:firstLine="280"/>
        <w:rPr>
          <w:rFonts w:ascii="方正黑体简体" w:eastAsia="方正黑体简体"/>
          <w:sz w:val="28"/>
          <w:szCs w:val="28"/>
        </w:rPr>
      </w:pPr>
    </w:p>
    <w:p w:rsidR="00D43F73" w:rsidRDefault="00D43F73">
      <w:pPr>
        <w:adjustRightInd w:val="0"/>
        <w:snapToGrid w:val="0"/>
        <w:spacing w:line="600" w:lineRule="exact"/>
        <w:ind w:firstLineChars="100" w:firstLine="280"/>
        <w:rPr>
          <w:rFonts w:ascii="方正黑体简体" w:eastAsia="方正黑体简体"/>
          <w:sz w:val="28"/>
          <w:szCs w:val="28"/>
        </w:rPr>
      </w:pPr>
    </w:p>
    <w:p w:rsidR="00D43F73" w:rsidRDefault="00D43F73">
      <w:pPr>
        <w:adjustRightInd w:val="0"/>
        <w:snapToGrid w:val="0"/>
        <w:spacing w:line="600" w:lineRule="exact"/>
        <w:ind w:firstLineChars="100" w:firstLine="280"/>
        <w:rPr>
          <w:rFonts w:ascii="方正黑体简体" w:eastAsia="方正黑体简体"/>
          <w:sz w:val="28"/>
          <w:szCs w:val="28"/>
        </w:rPr>
      </w:pPr>
    </w:p>
    <w:p w:rsidR="00D43F73" w:rsidRDefault="00D43F73">
      <w:pPr>
        <w:adjustRightInd w:val="0"/>
        <w:snapToGrid w:val="0"/>
        <w:spacing w:line="600" w:lineRule="exact"/>
        <w:ind w:firstLineChars="100" w:firstLine="280"/>
        <w:rPr>
          <w:rFonts w:ascii="方正黑体简体" w:eastAsia="方正黑体简体"/>
          <w:sz w:val="28"/>
          <w:szCs w:val="28"/>
        </w:rPr>
      </w:pPr>
    </w:p>
    <w:p w:rsidR="00D43F73" w:rsidRDefault="00D43F73">
      <w:pPr>
        <w:adjustRightInd w:val="0"/>
        <w:snapToGrid w:val="0"/>
        <w:spacing w:line="600" w:lineRule="exact"/>
        <w:ind w:firstLineChars="100" w:firstLine="280"/>
        <w:rPr>
          <w:rFonts w:ascii="方正黑体简体" w:eastAsia="方正黑体简体"/>
          <w:sz w:val="28"/>
          <w:szCs w:val="28"/>
        </w:rPr>
      </w:pPr>
    </w:p>
    <w:p w:rsidR="00D43F73" w:rsidRDefault="00D43F73">
      <w:pPr>
        <w:adjustRightInd w:val="0"/>
        <w:snapToGrid w:val="0"/>
        <w:spacing w:line="600" w:lineRule="exact"/>
        <w:ind w:firstLineChars="100" w:firstLine="280"/>
        <w:rPr>
          <w:rFonts w:ascii="方正黑体简体" w:eastAsia="方正黑体简体"/>
          <w:sz w:val="28"/>
          <w:szCs w:val="28"/>
        </w:rPr>
      </w:pPr>
    </w:p>
    <w:p w:rsidR="00D43F73" w:rsidRDefault="00D43F73">
      <w:pPr>
        <w:adjustRightInd w:val="0"/>
        <w:snapToGrid w:val="0"/>
        <w:spacing w:line="600" w:lineRule="exact"/>
        <w:ind w:firstLineChars="100" w:firstLine="280"/>
        <w:rPr>
          <w:rFonts w:ascii="方正黑体简体" w:eastAsia="方正黑体简体"/>
          <w:sz w:val="28"/>
          <w:szCs w:val="28"/>
        </w:rPr>
      </w:pPr>
    </w:p>
    <w:p w:rsidR="00D43F73" w:rsidRDefault="00D43F73">
      <w:pPr>
        <w:adjustRightInd w:val="0"/>
        <w:snapToGrid w:val="0"/>
        <w:spacing w:line="600" w:lineRule="exact"/>
        <w:ind w:firstLineChars="100" w:firstLine="280"/>
        <w:rPr>
          <w:rFonts w:ascii="方正黑体简体" w:eastAsia="方正黑体简体"/>
          <w:sz w:val="28"/>
          <w:szCs w:val="28"/>
        </w:rPr>
      </w:pPr>
    </w:p>
    <w:p w:rsidR="00D43F73" w:rsidRDefault="00D43F73">
      <w:pPr>
        <w:adjustRightInd w:val="0"/>
        <w:snapToGrid w:val="0"/>
        <w:spacing w:line="600" w:lineRule="exact"/>
        <w:ind w:firstLineChars="100" w:firstLine="280"/>
        <w:rPr>
          <w:rFonts w:ascii="方正黑体简体" w:eastAsia="方正黑体简体"/>
          <w:sz w:val="28"/>
          <w:szCs w:val="28"/>
        </w:rPr>
      </w:pPr>
    </w:p>
    <w:p w:rsidR="00D43F73" w:rsidRDefault="00D43F73">
      <w:pPr>
        <w:adjustRightInd w:val="0"/>
        <w:snapToGrid w:val="0"/>
        <w:spacing w:line="600" w:lineRule="exact"/>
        <w:ind w:firstLineChars="100" w:firstLine="280"/>
        <w:rPr>
          <w:rFonts w:ascii="方正黑体简体" w:eastAsia="方正黑体简体"/>
          <w:sz w:val="28"/>
          <w:szCs w:val="28"/>
        </w:rPr>
      </w:pPr>
    </w:p>
    <w:p w:rsidR="00DA44CC" w:rsidRDefault="00DA44CC">
      <w:pPr>
        <w:adjustRightInd w:val="0"/>
        <w:snapToGrid w:val="0"/>
        <w:spacing w:line="600" w:lineRule="exact"/>
        <w:ind w:firstLineChars="100" w:firstLine="280"/>
        <w:rPr>
          <w:rFonts w:ascii="方正黑体简体" w:eastAsia="方正黑体简体"/>
          <w:sz w:val="28"/>
          <w:szCs w:val="28"/>
        </w:rPr>
      </w:pPr>
    </w:p>
    <w:p w:rsidR="00DA44CC" w:rsidRDefault="00C53A1B">
      <w:pPr>
        <w:adjustRightInd w:val="0"/>
        <w:snapToGrid w:val="0"/>
        <w:spacing w:line="600" w:lineRule="exact"/>
        <w:ind w:firstLineChars="100" w:firstLine="280"/>
        <w:rPr>
          <w:rFonts w:ascii="方正黑体简体" w:eastAsia="方正黑体简体"/>
          <w:sz w:val="28"/>
          <w:szCs w:val="28"/>
        </w:rPr>
      </w:pPr>
      <w:r>
        <w:rPr>
          <w:rFonts w:ascii="方正黑体简体" w:eastAsia="方正黑体简体" w:hint="eastAsia"/>
          <w:sz w:val="28"/>
          <w:szCs w:val="28"/>
        </w:rPr>
        <w:t>公开方式：</w:t>
      </w:r>
      <w:r>
        <w:rPr>
          <w:rFonts w:ascii="方正楷体简体" w:eastAsia="方正楷体简体" w:hint="eastAsia"/>
          <w:sz w:val="28"/>
          <w:szCs w:val="28"/>
        </w:rPr>
        <w:t>主动公开</w:t>
      </w:r>
    </w:p>
    <w:p w:rsidR="00DA44CC" w:rsidRDefault="00D43F73" w:rsidP="00D43F73">
      <w:pPr>
        <w:adjustRightInd w:val="0"/>
        <w:snapToGrid w:val="0"/>
        <w:spacing w:line="600" w:lineRule="exact"/>
        <w:rPr>
          <w:rFonts w:ascii="方正仿宋简体" w:eastAsia="方正仿宋简体"/>
          <w:sz w:val="28"/>
          <w:szCs w:val="28"/>
        </w:rPr>
      </w:pPr>
      <w:r>
        <w:rPr>
          <w:rFonts w:ascii="方正仿宋简体" w:eastAsia="方正仿宋简体" w:hAnsi="仿宋_GB2312" w:cs="仿宋_GB2312" w:hint="eastAsia"/>
          <w:sz w:val="28"/>
          <w:szCs w:val="28"/>
        </w:rPr>
        <w:t xml:space="preserve">　</w:t>
      </w:r>
      <w:r w:rsidR="00C53A1B">
        <w:rPr>
          <w:rFonts w:ascii="方正仿宋简体" w:eastAsia="方正仿宋简体"/>
          <w:noProof/>
          <w:sz w:val="28"/>
          <w:szCs w:val="28"/>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412750</wp:posOffset>
                </wp:positionV>
                <wp:extent cx="5606415" cy="13970"/>
                <wp:effectExtent l="10795" t="12700" r="1206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6415" cy="13970"/>
                        </a:xfrm>
                        <a:prstGeom prst="line">
                          <a:avLst/>
                        </a:prstGeom>
                        <a:noFill/>
                        <a:ln w="1270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0.65pt;margin-top:32.5pt;height:1.1pt;width:441.45pt;z-index:251662336;mso-width-relative:page;mso-height-relative:page;" filled="f" stroked="t" coordsize="21600,21600" o:gfxdata="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MVZDYAAAACAEAAA8AAAAAAAAAAQAg&#10;AAAAIgAAAGRycy9kb3ducmV2LnhtbFBLAQIUABQAAAAIAIdO4kB50lCP1QEAAGsDAAAOAAAAAAAA&#10;AAEAIAAAACcBAABkcnMvZTJvRG9jLnhtbFBLBQYAAAAABgAGAFkBAABuBQAAAAA=&#10;">
                <v:fill on="f" focussize="0,0"/>
                <v:stroke weight="1pt" color="#000000" joinstyle="round"/>
                <v:imagedata o:title=""/>
                <o:lock v:ext="edit" aspectratio="f"/>
              </v:line>
            </w:pict>
          </mc:Fallback>
        </mc:AlternateContent>
      </w:r>
      <w:r w:rsidR="00C53A1B">
        <w:rPr>
          <w:rFonts w:ascii="方正仿宋简体" w:eastAsia="方正仿宋简体"/>
          <w:noProof/>
          <w:sz w:val="28"/>
          <w:szCs w:val="28"/>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41275</wp:posOffset>
                </wp:positionV>
                <wp:extent cx="5606415" cy="13970"/>
                <wp:effectExtent l="10795" t="12700" r="12065" b="114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6415" cy="13970"/>
                        </a:xfrm>
                        <a:prstGeom prst="line">
                          <a:avLst/>
                        </a:prstGeom>
                        <a:noFill/>
                        <a:ln w="1270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0.65pt;margin-top:3.25pt;height:1.1pt;width:441.45pt;z-index:251663360;mso-width-relative:page;mso-height-relative:page;" filled="f" stroked="t" coordsize="21600,21600" o:gfxdata="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bQYfjVAAAABgEAAA8AAAAAAAAAAQAgAAAA&#10;IgAAAGRycy9kb3ducmV2LnhtbFBLAQIUABQAAAAIAIdO4kA1lEPP1QEAAGsDAAAOAAAAAAAAAAEA&#10;IAAAACQBAABkcnMvZTJvRG9jLnhtbFBLBQYAAAAABgAGAFkBAABrBQAAAAA=&#10;">
                <v:fill on="f" focussize="0,0"/>
                <v:stroke weight="1pt" color="#000000" joinstyle="round"/>
                <v:imagedata o:title=""/>
                <o:lock v:ext="edit" aspectratio="f"/>
              </v:line>
            </w:pict>
          </mc:Fallback>
        </mc:AlternateContent>
      </w:r>
      <w:r w:rsidR="00C53A1B">
        <w:rPr>
          <w:rFonts w:ascii="方正仿宋简体" w:eastAsia="方正仿宋简体" w:hAnsi="仿宋_GB2312" w:cs="仿宋_GB2312" w:hint="eastAsia"/>
          <w:sz w:val="28"/>
          <w:szCs w:val="28"/>
        </w:rPr>
        <w:t xml:space="preserve">济宁市自然资源和规划局办公室　　　　　</w:t>
      </w:r>
      <w:r>
        <w:rPr>
          <w:rFonts w:ascii="方正仿宋简体" w:eastAsia="方正仿宋简体" w:hAnsi="仿宋_GB2312" w:cs="仿宋_GB2312" w:hint="eastAsia"/>
          <w:sz w:val="28"/>
          <w:szCs w:val="28"/>
        </w:rPr>
        <w:t xml:space="preserve">　</w:t>
      </w:r>
      <w:r w:rsidR="00C53A1B">
        <w:rPr>
          <w:rFonts w:ascii="方正仿宋简体" w:eastAsia="方正仿宋简体" w:hAnsi="仿宋_GB2312" w:cs="仿宋_GB2312" w:hint="eastAsia"/>
          <w:sz w:val="28"/>
          <w:szCs w:val="28"/>
        </w:rPr>
        <w:t>20</w:t>
      </w:r>
      <w:r w:rsidR="00C53A1B">
        <w:rPr>
          <w:rFonts w:ascii="方正仿宋简体" w:eastAsia="方正仿宋简体" w:hAnsi="仿宋_GB2312" w:cs="仿宋_GB2312"/>
          <w:sz w:val="28"/>
          <w:szCs w:val="28"/>
        </w:rPr>
        <w:t>20</w:t>
      </w:r>
      <w:r w:rsidR="00C53A1B">
        <w:rPr>
          <w:rFonts w:ascii="方正仿宋简体" w:eastAsia="方正仿宋简体" w:hAnsi="仿宋_GB2312" w:cs="仿宋_GB2312" w:hint="eastAsia"/>
          <w:sz w:val="28"/>
          <w:szCs w:val="28"/>
        </w:rPr>
        <w:t>年</w:t>
      </w:r>
      <w:r w:rsidR="00A035B7">
        <w:rPr>
          <w:rFonts w:ascii="方正仿宋简体" w:eastAsia="方正仿宋简体" w:hAnsi="仿宋_GB2312" w:cs="仿宋_GB2312"/>
          <w:sz w:val="28"/>
          <w:szCs w:val="28"/>
        </w:rPr>
        <w:t>6</w:t>
      </w:r>
      <w:r w:rsidR="00C53A1B">
        <w:rPr>
          <w:rFonts w:ascii="方正仿宋简体" w:eastAsia="方正仿宋简体" w:hAnsi="仿宋_GB2312" w:cs="仿宋_GB2312" w:hint="eastAsia"/>
          <w:sz w:val="28"/>
          <w:szCs w:val="28"/>
        </w:rPr>
        <w:t>月</w:t>
      </w:r>
      <w:r w:rsidR="00A035B7">
        <w:rPr>
          <w:rFonts w:ascii="方正仿宋简体" w:eastAsia="方正仿宋简体" w:hAnsi="仿宋_GB2312" w:cs="仿宋_GB2312"/>
          <w:sz w:val="28"/>
          <w:szCs w:val="28"/>
        </w:rPr>
        <w:t>20</w:t>
      </w:r>
      <w:r w:rsidR="00C53A1B">
        <w:rPr>
          <w:rFonts w:ascii="方正仿宋简体" w:eastAsia="方正仿宋简体" w:hAnsi="仿宋_GB2312" w:cs="仿宋_GB2312" w:hint="eastAsia"/>
          <w:sz w:val="28"/>
          <w:szCs w:val="28"/>
        </w:rPr>
        <w:t>日印发</w:t>
      </w:r>
      <w:r w:rsidR="00C53A1B">
        <w:rPr>
          <w:rFonts w:ascii="方正仿宋简体" w:eastAsia="方正仿宋简体" w:hint="eastAsia"/>
          <w:sz w:val="28"/>
          <w:szCs w:val="28"/>
        </w:rPr>
        <w:t xml:space="preserve">　</w:t>
      </w:r>
    </w:p>
    <w:sectPr w:rsidR="00DA44CC">
      <w:footerReference w:type="even" r:id="rId12"/>
      <w:pgSz w:w="11906" w:h="16838"/>
      <w:pgMar w:top="2155" w:right="1474" w:bottom="2041" w:left="1588" w:header="851" w:footer="1587" w:gutter="0"/>
      <w:cols w:space="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66" w:rsidRDefault="00977466">
      <w:r>
        <w:separator/>
      </w:r>
    </w:p>
  </w:endnote>
  <w:endnote w:type="continuationSeparator" w:id="0">
    <w:p w:rsidR="00977466" w:rsidRDefault="0097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楷体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C55" w:rsidRDefault="00797C55">
    <w:pPr>
      <w:pStyle w:val="ab"/>
      <w:tabs>
        <w:tab w:val="left" w:pos="5628"/>
        <w:tab w:val="left" w:pos="8080"/>
      </w:tabs>
    </w:pPr>
    <w:r>
      <w:rPr>
        <w:rFonts w:ascii="宋体" w:hAnsi="宋体" w:hint="eastAsia"/>
        <w:sz w:val="28"/>
        <w:szCs w:val="28"/>
      </w:rPr>
      <w:t xml:space="preserve">　—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C55" w:rsidRDefault="00797C55">
    <w:pPr>
      <w:pStyle w:val="ab"/>
      <w:tabs>
        <w:tab w:val="left" w:pos="5628"/>
        <w:tab w:val="left" w:pos="8080"/>
      </w:tabs>
      <w:wordWrap w:val="0"/>
      <w:jc w:val="right"/>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hint="eastAsia"/>
        <w:sz w:val="28"/>
        <w:szCs w:val="28"/>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C55" w:rsidRDefault="00797C55">
    <w:pPr>
      <w:pStyle w:val="ab"/>
      <w:tabs>
        <w:tab w:val="left" w:pos="5628"/>
        <w:tab w:val="left" w:pos="8080"/>
      </w:tabs>
    </w:pPr>
    <w:r>
      <w:rPr>
        <w:rFonts w:ascii="宋体" w:hAnsi="宋体" w:hint="eastAsia"/>
        <w:sz w:val="28"/>
        <w:szCs w:val="28"/>
      </w:rPr>
      <w:t xml:space="preserve">　—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hint="eastAsia"/>
        <w:sz w:val="28"/>
        <w:szCs w:val="2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C55" w:rsidRPr="00D43F73" w:rsidRDefault="00797C55" w:rsidP="00D43F7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66" w:rsidRDefault="00977466">
      <w:r>
        <w:separator/>
      </w:r>
    </w:p>
  </w:footnote>
  <w:footnote w:type="continuationSeparator" w:id="0">
    <w:p w:rsidR="00977466" w:rsidRDefault="00977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25E80"/>
    <w:multiLevelType w:val="multilevel"/>
    <w:tmpl w:val="7B525E80"/>
    <w:lvl w:ilvl="0">
      <w:start w:val="1"/>
      <w:numFmt w:val="chineseCountingThousand"/>
      <w:pStyle w:val="32205"/>
      <w:suff w:val="space"/>
      <w:lvlText w:val="第%1条"/>
      <w:lvlJc w:val="left"/>
      <w:pPr>
        <w:ind w:left="708" w:hanging="141"/>
      </w:pPr>
      <w:rPr>
        <w:rFonts w:ascii="黑体" w:eastAsia="黑体" w:hAnsi="黑体" w:hint="eastAsia"/>
        <w:b/>
        <w:i w:val="0"/>
        <w:color w:val="0D0D0D" w:themeColor="text1" w:themeTint="F2"/>
        <w:sz w:val="28"/>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bordersDoNotSurroundHeader/>
  <w:bordersDoNotSurroundFooter/>
  <w:proofState w:spelling="clean"/>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EB4"/>
    <w:rsid w:val="00002ADD"/>
    <w:rsid w:val="0000425B"/>
    <w:rsid w:val="00021409"/>
    <w:rsid w:val="0003596A"/>
    <w:rsid w:val="00036CD0"/>
    <w:rsid w:val="00040D7D"/>
    <w:rsid w:val="000412B0"/>
    <w:rsid w:val="0004729A"/>
    <w:rsid w:val="00047D6D"/>
    <w:rsid w:val="000534C8"/>
    <w:rsid w:val="000534D4"/>
    <w:rsid w:val="00057D76"/>
    <w:rsid w:val="0006023F"/>
    <w:rsid w:val="00066753"/>
    <w:rsid w:val="00084113"/>
    <w:rsid w:val="00092D6C"/>
    <w:rsid w:val="00094A59"/>
    <w:rsid w:val="000A20C8"/>
    <w:rsid w:val="000A37B0"/>
    <w:rsid w:val="000A5527"/>
    <w:rsid w:val="000B3137"/>
    <w:rsid w:val="000C49C5"/>
    <w:rsid w:val="000D6F19"/>
    <w:rsid w:val="000E2AAF"/>
    <w:rsid w:val="000E4F5F"/>
    <w:rsid w:val="000E5BF4"/>
    <w:rsid w:val="000F1049"/>
    <w:rsid w:val="000F1F13"/>
    <w:rsid w:val="000F7E8F"/>
    <w:rsid w:val="00112856"/>
    <w:rsid w:val="00114601"/>
    <w:rsid w:val="001225DD"/>
    <w:rsid w:val="001300CD"/>
    <w:rsid w:val="00133405"/>
    <w:rsid w:val="00135813"/>
    <w:rsid w:val="00140B36"/>
    <w:rsid w:val="00141105"/>
    <w:rsid w:val="001414FC"/>
    <w:rsid w:val="00141523"/>
    <w:rsid w:val="00144DBF"/>
    <w:rsid w:val="00146723"/>
    <w:rsid w:val="001514E0"/>
    <w:rsid w:val="001539D2"/>
    <w:rsid w:val="00156E2D"/>
    <w:rsid w:val="0017399B"/>
    <w:rsid w:val="00177F56"/>
    <w:rsid w:val="00181EB8"/>
    <w:rsid w:val="001822EC"/>
    <w:rsid w:val="001930C7"/>
    <w:rsid w:val="00196141"/>
    <w:rsid w:val="001A2DA3"/>
    <w:rsid w:val="001A4725"/>
    <w:rsid w:val="001A4A7F"/>
    <w:rsid w:val="001A6406"/>
    <w:rsid w:val="001D3121"/>
    <w:rsid w:val="001D43CA"/>
    <w:rsid w:val="001D7F85"/>
    <w:rsid w:val="001F3B4E"/>
    <w:rsid w:val="001F5A7F"/>
    <w:rsid w:val="001F72AC"/>
    <w:rsid w:val="001F7E6C"/>
    <w:rsid w:val="00202426"/>
    <w:rsid w:val="00202B88"/>
    <w:rsid w:val="0020584E"/>
    <w:rsid w:val="002103FC"/>
    <w:rsid w:val="0021090C"/>
    <w:rsid w:val="00213FD1"/>
    <w:rsid w:val="00215A64"/>
    <w:rsid w:val="00226E40"/>
    <w:rsid w:val="002273D7"/>
    <w:rsid w:val="00227E5D"/>
    <w:rsid w:val="002327B4"/>
    <w:rsid w:val="0023389F"/>
    <w:rsid w:val="002376C9"/>
    <w:rsid w:val="00240753"/>
    <w:rsid w:val="0024326C"/>
    <w:rsid w:val="00244115"/>
    <w:rsid w:val="002555DA"/>
    <w:rsid w:val="00257530"/>
    <w:rsid w:val="00257886"/>
    <w:rsid w:val="0026043D"/>
    <w:rsid w:val="00263FF5"/>
    <w:rsid w:val="0026418C"/>
    <w:rsid w:val="0026550D"/>
    <w:rsid w:val="00272862"/>
    <w:rsid w:val="00283ADE"/>
    <w:rsid w:val="00292B79"/>
    <w:rsid w:val="00297351"/>
    <w:rsid w:val="002A7706"/>
    <w:rsid w:val="002B4810"/>
    <w:rsid w:val="002B618B"/>
    <w:rsid w:val="002B67E3"/>
    <w:rsid w:val="002C2205"/>
    <w:rsid w:val="002C3D51"/>
    <w:rsid w:val="002C421E"/>
    <w:rsid w:val="002C5C63"/>
    <w:rsid w:val="002D5C4C"/>
    <w:rsid w:val="002E5892"/>
    <w:rsid w:val="002E682B"/>
    <w:rsid w:val="002F00EE"/>
    <w:rsid w:val="00300DAE"/>
    <w:rsid w:val="00307BE1"/>
    <w:rsid w:val="00311729"/>
    <w:rsid w:val="003155FF"/>
    <w:rsid w:val="00317582"/>
    <w:rsid w:val="00320986"/>
    <w:rsid w:val="003468B9"/>
    <w:rsid w:val="00346A73"/>
    <w:rsid w:val="00346E81"/>
    <w:rsid w:val="003547EE"/>
    <w:rsid w:val="003576ED"/>
    <w:rsid w:val="003672DA"/>
    <w:rsid w:val="003708EE"/>
    <w:rsid w:val="00371A81"/>
    <w:rsid w:val="00372719"/>
    <w:rsid w:val="0037389A"/>
    <w:rsid w:val="00376C31"/>
    <w:rsid w:val="00380BF2"/>
    <w:rsid w:val="00385D6F"/>
    <w:rsid w:val="00392766"/>
    <w:rsid w:val="003A204A"/>
    <w:rsid w:val="003A422B"/>
    <w:rsid w:val="003A513E"/>
    <w:rsid w:val="003B0404"/>
    <w:rsid w:val="003B5660"/>
    <w:rsid w:val="003C2880"/>
    <w:rsid w:val="003C5FD3"/>
    <w:rsid w:val="003D3979"/>
    <w:rsid w:val="003D552B"/>
    <w:rsid w:val="003D6F21"/>
    <w:rsid w:val="003E2CA1"/>
    <w:rsid w:val="003F15B3"/>
    <w:rsid w:val="003F61B6"/>
    <w:rsid w:val="0040381B"/>
    <w:rsid w:val="004147D5"/>
    <w:rsid w:val="00422E60"/>
    <w:rsid w:val="00430591"/>
    <w:rsid w:val="0043133E"/>
    <w:rsid w:val="00431EE8"/>
    <w:rsid w:val="004343F2"/>
    <w:rsid w:val="00434640"/>
    <w:rsid w:val="00441730"/>
    <w:rsid w:val="0044578E"/>
    <w:rsid w:val="0044720E"/>
    <w:rsid w:val="00451390"/>
    <w:rsid w:val="004530BF"/>
    <w:rsid w:val="0046778A"/>
    <w:rsid w:val="00472D37"/>
    <w:rsid w:val="00473E79"/>
    <w:rsid w:val="00487618"/>
    <w:rsid w:val="00494CE9"/>
    <w:rsid w:val="004A24C8"/>
    <w:rsid w:val="004A37DB"/>
    <w:rsid w:val="004A48BB"/>
    <w:rsid w:val="004A54C8"/>
    <w:rsid w:val="004A67A2"/>
    <w:rsid w:val="004A6CE3"/>
    <w:rsid w:val="004B15FE"/>
    <w:rsid w:val="004B7182"/>
    <w:rsid w:val="004C3807"/>
    <w:rsid w:val="004C3ACF"/>
    <w:rsid w:val="004C6474"/>
    <w:rsid w:val="004D40F6"/>
    <w:rsid w:val="004D7547"/>
    <w:rsid w:val="004E4D61"/>
    <w:rsid w:val="004F4AA7"/>
    <w:rsid w:val="004F576B"/>
    <w:rsid w:val="004F6033"/>
    <w:rsid w:val="00504EED"/>
    <w:rsid w:val="00505F13"/>
    <w:rsid w:val="005108F8"/>
    <w:rsid w:val="00514D10"/>
    <w:rsid w:val="00516037"/>
    <w:rsid w:val="0052425A"/>
    <w:rsid w:val="00525626"/>
    <w:rsid w:val="00526524"/>
    <w:rsid w:val="00530140"/>
    <w:rsid w:val="005323A6"/>
    <w:rsid w:val="00543F36"/>
    <w:rsid w:val="005464A8"/>
    <w:rsid w:val="00546668"/>
    <w:rsid w:val="005666A0"/>
    <w:rsid w:val="00571444"/>
    <w:rsid w:val="00577F60"/>
    <w:rsid w:val="00582361"/>
    <w:rsid w:val="00591E4E"/>
    <w:rsid w:val="00592163"/>
    <w:rsid w:val="00594886"/>
    <w:rsid w:val="005A25AC"/>
    <w:rsid w:val="005A5E17"/>
    <w:rsid w:val="005A6F48"/>
    <w:rsid w:val="005B3EF6"/>
    <w:rsid w:val="005C0FE5"/>
    <w:rsid w:val="005E1F80"/>
    <w:rsid w:val="005E2BEF"/>
    <w:rsid w:val="005E5E40"/>
    <w:rsid w:val="005F2B95"/>
    <w:rsid w:val="005F36B3"/>
    <w:rsid w:val="005F4E20"/>
    <w:rsid w:val="00602C9E"/>
    <w:rsid w:val="006060FC"/>
    <w:rsid w:val="00612E9B"/>
    <w:rsid w:val="00624C22"/>
    <w:rsid w:val="00635AEB"/>
    <w:rsid w:val="00644733"/>
    <w:rsid w:val="00652005"/>
    <w:rsid w:val="00655A33"/>
    <w:rsid w:val="006617CA"/>
    <w:rsid w:val="0066251C"/>
    <w:rsid w:val="00663DD0"/>
    <w:rsid w:val="00677F90"/>
    <w:rsid w:val="0068539F"/>
    <w:rsid w:val="00690AAB"/>
    <w:rsid w:val="006B3454"/>
    <w:rsid w:val="006C138F"/>
    <w:rsid w:val="006C3635"/>
    <w:rsid w:val="006E5540"/>
    <w:rsid w:val="006E5E26"/>
    <w:rsid w:val="006E6B23"/>
    <w:rsid w:val="006F0F6D"/>
    <w:rsid w:val="006F2C12"/>
    <w:rsid w:val="006F3341"/>
    <w:rsid w:val="006F3FE1"/>
    <w:rsid w:val="006F43DD"/>
    <w:rsid w:val="00700F35"/>
    <w:rsid w:val="0070380C"/>
    <w:rsid w:val="00710869"/>
    <w:rsid w:val="007164C5"/>
    <w:rsid w:val="00717A3F"/>
    <w:rsid w:val="00722344"/>
    <w:rsid w:val="00731E98"/>
    <w:rsid w:val="007347BB"/>
    <w:rsid w:val="00734887"/>
    <w:rsid w:val="00740CD9"/>
    <w:rsid w:val="00740D3D"/>
    <w:rsid w:val="007539FD"/>
    <w:rsid w:val="00757044"/>
    <w:rsid w:val="00760AE3"/>
    <w:rsid w:val="00770007"/>
    <w:rsid w:val="007823C6"/>
    <w:rsid w:val="007852A6"/>
    <w:rsid w:val="00797849"/>
    <w:rsid w:val="00797C55"/>
    <w:rsid w:val="007A131C"/>
    <w:rsid w:val="007A375F"/>
    <w:rsid w:val="007A6E6D"/>
    <w:rsid w:val="007B3372"/>
    <w:rsid w:val="007B44F1"/>
    <w:rsid w:val="007C3794"/>
    <w:rsid w:val="007D1A27"/>
    <w:rsid w:val="007D4F41"/>
    <w:rsid w:val="007D5067"/>
    <w:rsid w:val="007E389D"/>
    <w:rsid w:val="007E56E3"/>
    <w:rsid w:val="007E7283"/>
    <w:rsid w:val="007F7BAB"/>
    <w:rsid w:val="00807DFB"/>
    <w:rsid w:val="00807F63"/>
    <w:rsid w:val="00810266"/>
    <w:rsid w:val="00811CF5"/>
    <w:rsid w:val="00817C0A"/>
    <w:rsid w:val="0082229C"/>
    <w:rsid w:val="00825863"/>
    <w:rsid w:val="00831521"/>
    <w:rsid w:val="00837022"/>
    <w:rsid w:val="00837C85"/>
    <w:rsid w:val="00844161"/>
    <w:rsid w:val="008526C5"/>
    <w:rsid w:val="008532A9"/>
    <w:rsid w:val="0085766E"/>
    <w:rsid w:val="00857B12"/>
    <w:rsid w:val="00860513"/>
    <w:rsid w:val="00871CC3"/>
    <w:rsid w:val="008753CD"/>
    <w:rsid w:val="0087546B"/>
    <w:rsid w:val="008840EA"/>
    <w:rsid w:val="00884877"/>
    <w:rsid w:val="00886E25"/>
    <w:rsid w:val="008919EF"/>
    <w:rsid w:val="00892CA4"/>
    <w:rsid w:val="008A1BA9"/>
    <w:rsid w:val="008A3A39"/>
    <w:rsid w:val="008B2B24"/>
    <w:rsid w:val="008B3F04"/>
    <w:rsid w:val="008B4345"/>
    <w:rsid w:val="008B590E"/>
    <w:rsid w:val="008B596D"/>
    <w:rsid w:val="008C143B"/>
    <w:rsid w:val="008C2312"/>
    <w:rsid w:val="008C5A37"/>
    <w:rsid w:val="008C5E30"/>
    <w:rsid w:val="008D7864"/>
    <w:rsid w:val="008E6AD7"/>
    <w:rsid w:val="008E726E"/>
    <w:rsid w:val="008E79D0"/>
    <w:rsid w:val="008F070F"/>
    <w:rsid w:val="008F474F"/>
    <w:rsid w:val="0090355E"/>
    <w:rsid w:val="00904391"/>
    <w:rsid w:val="00910FBC"/>
    <w:rsid w:val="009110FD"/>
    <w:rsid w:val="0091509D"/>
    <w:rsid w:val="00917C72"/>
    <w:rsid w:val="00920EDD"/>
    <w:rsid w:val="00925923"/>
    <w:rsid w:val="00925A91"/>
    <w:rsid w:val="00925EFB"/>
    <w:rsid w:val="00926A23"/>
    <w:rsid w:val="009300AB"/>
    <w:rsid w:val="00945A3C"/>
    <w:rsid w:val="009553D5"/>
    <w:rsid w:val="00965C82"/>
    <w:rsid w:val="009757EE"/>
    <w:rsid w:val="00977466"/>
    <w:rsid w:val="00977FAA"/>
    <w:rsid w:val="00983C1A"/>
    <w:rsid w:val="00984579"/>
    <w:rsid w:val="00992456"/>
    <w:rsid w:val="009A0891"/>
    <w:rsid w:val="009A12AF"/>
    <w:rsid w:val="009A1458"/>
    <w:rsid w:val="009A2E0C"/>
    <w:rsid w:val="009A550A"/>
    <w:rsid w:val="009A7CF3"/>
    <w:rsid w:val="009A7E87"/>
    <w:rsid w:val="009B33E2"/>
    <w:rsid w:val="009B45B4"/>
    <w:rsid w:val="009B663B"/>
    <w:rsid w:val="009B6935"/>
    <w:rsid w:val="009C093A"/>
    <w:rsid w:val="009C15CC"/>
    <w:rsid w:val="009C49ED"/>
    <w:rsid w:val="009D112A"/>
    <w:rsid w:val="009D2EB7"/>
    <w:rsid w:val="009E1037"/>
    <w:rsid w:val="009E14CA"/>
    <w:rsid w:val="009E2E46"/>
    <w:rsid w:val="009F15E1"/>
    <w:rsid w:val="009F38FF"/>
    <w:rsid w:val="009F5A66"/>
    <w:rsid w:val="009F772E"/>
    <w:rsid w:val="00A030E8"/>
    <w:rsid w:val="00A03469"/>
    <w:rsid w:val="00A035B7"/>
    <w:rsid w:val="00A03D7F"/>
    <w:rsid w:val="00A2154F"/>
    <w:rsid w:val="00A22844"/>
    <w:rsid w:val="00A26D2A"/>
    <w:rsid w:val="00A31E4B"/>
    <w:rsid w:val="00A3395A"/>
    <w:rsid w:val="00A414D6"/>
    <w:rsid w:val="00A522AA"/>
    <w:rsid w:val="00A610F6"/>
    <w:rsid w:val="00A6207C"/>
    <w:rsid w:val="00A6332D"/>
    <w:rsid w:val="00A639DC"/>
    <w:rsid w:val="00A71691"/>
    <w:rsid w:val="00A84405"/>
    <w:rsid w:val="00A86077"/>
    <w:rsid w:val="00AA2AA3"/>
    <w:rsid w:val="00AA5AF3"/>
    <w:rsid w:val="00AA6804"/>
    <w:rsid w:val="00AA692C"/>
    <w:rsid w:val="00AB1D68"/>
    <w:rsid w:val="00AB5757"/>
    <w:rsid w:val="00AB6C35"/>
    <w:rsid w:val="00AC0644"/>
    <w:rsid w:val="00AC12E4"/>
    <w:rsid w:val="00AC6FB5"/>
    <w:rsid w:val="00AD1641"/>
    <w:rsid w:val="00AD1737"/>
    <w:rsid w:val="00AD3423"/>
    <w:rsid w:val="00AD5DAF"/>
    <w:rsid w:val="00AD6BC3"/>
    <w:rsid w:val="00AD777F"/>
    <w:rsid w:val="00AE1A46"/>
    <w:rsid w:val="00AF20B6"/>
    <w:rsid w:val="00AF5AB9"/>
    <w:rsid w:val="00AF661B"/>
    <w:rsid w:val="00B019DC"/>
    <w:rsid w:val="00B02005"/>
    <w:rsid w:val="00B1246D"/>
    <w:rsid w:val="00B13112"/>
    <w:rsid w:val="00B13EC5"/>
    <w:rsid w:val="00B252C1"/>
    <w:rsid w:val="00B422DB"/>
    <w:rsid w:val="00B42542"/>
    <w:rsid w:val="00B54215"/>
    <w:rsid w:val="00B57177"/>
    <w:rsid w:val="00B625AE"/>
    <w:rsid w:val="00B63AD6"/>
    <w:rsid w:val="00B64FF7"/>
    <w:rsid w:val="00B65E3D"/>
    <w:rsid w:val="00B67285"/>
    <w:rsid w:val="00B7375C"/>
    <w:rsid w:val="00B74C0B"/>
    <w:rsid w:val="00B8071C"/>
    <w:rsid w:val="00B808C2"/>
    <w:rsid w:val="00B827D2"/>
    <w:rsid w:val="00B837DA"/>
    <w:rsid w:val="00B84BFC"/>
    <w:rsid w:val="00B8741D"/>
    <w:rsid w:val="00B87429"/>
    <w:rsid w:val="00B934C2"/>
    <w:rsid w:val="00B964A7"/>
    <w:rsid w:val="00BB6214"/>
    <w:rsid w:val="00BB6F33"/>
    <w:rsid w:val="00BB784C"/>
    <w:rsid w:val="00BC1553"/>
    <w:rsid w:val="00BC6C84"/>
    <w:rsid w:val="00BE492B"/>
    <w:rsid w:val="00BF0590"/>
    <w:rsid w:val="00BF05CF"/>
    <w:rsid w:val="00BF32AB"/>
    <w:rsid w:val="00BF5461"/>
    <w:rsid w:val="00BF6997"/>
    <w:rsid w:val="00C03690"/>
    <w:rsid w:val="00C03A1D"/>
    <w:rsid w:val="00C07FBC"/>
    <w:rsid w:val="00C11D18"/>
    <w:rsid w:val="00C23445"/>
    <w:rsid w:val="00C25057"/>
    <w:rsid w:val="00C402F7"/>
    <w:rsid w:val="00C53A1B"/>
    <w:rsid w:val="00C53AFE"/>
    <w:rsid w:val="00C563DF"/>
    <w:rsid w:val="00C65702"/>
    <w:rsid w:val="00C746F1"/>
    <w:rsid w:val="00C776BB"/>
    <w:rsid w:val="00C81BF8"/>
    <w:rsid w:val="00C90538"/>
    <w:rsid w:val="00C92159"/>
    <w:rsid w:val="00C96313"/>
    <w:rsid w:val="00C96F35"/>
    <w:rsid w:val="00CA1161"/>
    <w:rsid w:val="00CA1BEE"/>
    <w:rsid w:val="00CB19BE"/>
    <w:rsid w:val="00CB680E"/>
    <w:rsid w:val="00CC5CC5"/>
    <w:rsid w:val="00CD475B"/>
    <w:rsid w:val="00CD4CB0"/>
    <w:rsid w:val="00CD6BFD"/>
    <w:rsid w:val="00CE3983"/>
    <w:rsid w:val="00CE420A"/>
    <w:rsid w:val="00CE51C2"/>
    <w:rsid w:val="00CE527E"/>
    <w:rsid w:val="00CF0056"/>
    <w:rsid w:val="00CF3035"/>
    <w:rsid w:val="00D001F2"/>
    <w:rsid w:val="00D04A07"/>
    <w:rsid w:val="00D064BF"/>
    <w:rsid w:val="00D1170F"/>
    <w:rsid w:val="00D12C4C"/>
    <w:rsid w:val="00D144E3"/>
    <w:rsid w:val="00D23073"/>
    <w:rsid w:val="00D25EB4"/>
    <w:rsid w:val="00D31F58"/>
    <w:rsid w:val="00D43F73"/>
    <w:rsid w:val="00D47E76"/>
    <w:rsid w:val="00D618DC"/>
    <w:rsid w:val="00D6722E"/>
    <w:rsid w:val="00D74CD0"/>
    <w:rsid w:val="00D80BD7"/>
    <w:rsid w:val="00D81DBD"/>
    <w:rsid w:val="00D92358"/>
    <w:rsid w:val="00D92F22"/>
    <w:rsid w:val="00D942BA"/>
    <w:rsid w:val="00D974B2"/>
    <w:rsid w:val="00DA44CC"/>
    <w:rsid w:val="00DA727E"/>
    <w:rsid w:val="00DB2EBD"/>
    <w:rsid w:val="00DB7E70"/>
    <w:rsid w:val="00DC2DC6"/>
    <w:rsid w:val="00DD058C"/>
    <w:rsid w:val="00DD496A"/>
    <w:rsid w:val="00DD55B5"/>
    <w:rsid w:val="00DD64C0"/>
    <w:rsid w:val="00DE093A"/>
    <w:rsid w:val="00DE16FE"/>
    <w:rsid w:val="00DE1E35"/>
    <w:rsid w:val="00DE45C5"/>
    <w:rsid w:val="00DE70D9"/>
    <w:rsid w:val="00DF1771"/>
    <w:rsid w:val="00E01122"/>
    <w:rsid w:val="00E07932"/>
    <w:rsid w:val="00E1729E"/>
    <w:rsid w:val="00E22984"/>
    <w:rsid w:val="00E32D8B"/>
    <w:rsid w:val="00E55415"/>
    <w:rsid w:val="00E63FBF"/>
    <w:rsid w:val="00E8573D"/>
    <w:rsid w:val="00E8681F"/>
    <w:rsid w:val="00E906BD"/>
    <w:rsid w:val="00E91D26"/>
    <w:rsid w:val="00E94576"/>
    <w:rsid w:val="00EB57F3"/>
    <w:rsid w:val="00EC0389"/>
    <w:rsid w:val="00EC046B"/>
    <w:rsid w:val="00EC0E5E"/>
    <w:rsid w:val="00EC4613"/>
    <w:rsid w:val="00ED3619"/>
    <w:rsid w:val="00EE06F6"/>
    <w:rsid w:val="00EF5977"/>
    <w:rsid w:val="00EF61FC"/>
    <w:rsid w:val="00F014A0"/>
    <w:rsid w:val="00F03995"/>
    <w:rsid w:val="00F1052D"/>
    <w:rsid w:val="00F12D5D"/>
    <w:rsid w:val="00F17FFE"/>
    <w:rsid w:val="00F24ADA"/>
    <w:rsid w:val="00F24C77"/>
    <w:rsid w:val="00F25FB4"/>
    <w:rsid w:val="00F40F1D"/>
    <w:rsid w:val="00F41208"/>
    <w:rsid w:val="00F41871"/>
    <w:rsid w:val="00F4410E"/>
    <w:rsid w:val="00F447C4"/>
    <w:rsid w:val="00F449B4"/>
    <w:rsid w:val="00F5021E"/>
    <w:rsid w:val="00F50D85"/>
    <w:rsid w:val="00F600FC"/>
    <w:rsid w:val="00F604FB"/>
    <w:rsid w:val="00F622F7"/>
    <w:rsid w:val="00F77083"/>
    <w:rsid w:val="00F81F8D"/>
    <w:rsid w:val="00F8574C"/>
    <w:rsid w:val="00F9533F"/>
    <w:rsid w:val="00FB220C"/>
    <w:rsid w:val="00FB295E"/>
    <w:rsid w:val="00FB41EE"/>
    <w:rsid w:val="00FC03E5"/>
    <w:rsid w:val="00FC2CAA"/>
    <w:rsid w:val="00FC4482"/>
    <w:rsid w:val="00FC491B"/>
    <w:rsid w:val="00FC4B87"/>
    <w:rsid w:val="00FC5120"/>
    <w:rsid w:val="00FD0C22"/>
    <w:rsid w:val="00FD7452"/>
    <w:rsid w:val="00FE3C10"/>
    <w:rsid w:val="00FF5748"/>
    <w:rsid w:val="08800682"/>
    <w:rsid w:val="0B7E3E10"/>
    <w:rsid w:val="0BAD44E0"/>
    <w:rsid w:val="11DA21EE"/>
    <w:rsid w:val="138953E4"/>
    <w:rsid w:val="1C8518C7"/>
    <w:rsid w:val="20002538"/>
    <w:rsid w:val="218E4872"/>
    <w:rsid w:val="22131F37"/>
    <w:rsid w:val="22D61367"/>
    <w:rsid w:val="29062E5F"/>
    <w:rsid w:val="2B8570FE"/>
    <w:rsid w:val="2D2242EB"/>
    <w:rsid w:val="34C74472"/>
    <w:rsid w:val="36873C33"/>
    <w:rsid w:val="3DE3343B"/>
    <w:rsid w:val="3E425702"/>
    <w:rsid w:val="456603E7"/>
    <w:rsid w:val="4711404D"/>
    <w:rsid w:val="491D0E3E"/>
    <w:rsid w:val="494D6565"/>
    <w:rsid w:val="4E20117F"/>
    <w:rsid w:val="53482BE8"/>
    <w:rsid w:val="5FB11159"/>
    <w:rsid w:val="600A071D"/>
    <w:rsid w:val="644918D9"/>
    <w:rsid w:val="656443E7"/>
    <w:rsid w:val="65826671"/>
    <w:rsid w:val="672E70F5"/>
    <w:rsid w:val="6EAE5D9B"/>
    <w:rsid w:val="76C705E2"/>
    <w:rsid w:val="77763F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white">
      <v:fill color="white"/>
    </o:shapedefaults>
    <o:shapelayout v:ext="edit">
      <o:idmap v:ext="edit" data="1"/>
    </o:shapelayout>
  </w:shapeDefaults>
  <w:decimalSymbol w:val="."/>
  <w:listSeparator w:val=","/>
  <w15:docId w15:val="{2D2B993A-84A1-45F6-921A-473F698E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iPriority="0" w:unhideWhenUsed="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alibri"/>
      <w:kern w:val="2"/>
      <w:sz w:val="21"/>
      <w:szCs w:val="21"/>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lock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pPr>
      <w:widowControl/>
      <w:jc w:val="left"/>
    </w:pPr>
    <w:rPr>
      <w:rFonts w:ascii="Times New Roman" w:hAnsi="Times New Roman" w:cs="Times New Roman"/>
      <w:sz w:val="24"/>
      <w:szCs w:val="24"/>
    </w:rPr>
  </w:style>
  <w:style w:type="paragraph" w:styleId="a5">
    <w:name w:val="Plain Text"/>
    <w:basedOn w:val="a"/>
    <w:link w:val="a6"/>
    <w:uiPriority w:val="99"/>
    <w:qFormat/>
    <w:rPr>
      <w:rFonts w:ascii="宋体" w:hAnsi="Courier New" w:cs="Times New Roman"/>
      <w:kern w:val="0"/>
    </w:rPr>
  </w:style>
  <w:style w:type="paragraph" w:styleId="a7">
    <w:name w:val="Date"/>
    <w:basedOn w:val="a"/>
    <w:next w:val="a"/>
    <w:link w:val="a8"/>
    <w:uiPriority w:val="99"/>
    <w:semiHidden/>
    <w:unhideWhenUsed/>
    <w:pPr>
      <w:ind w:leftChars="2500" w:left="100"/>
    </w:pPr>
  </w:style>
  <w:style w:type="paragraph" w:styleId="a9">
    <w:name w:val="Balloon Text"/>
    <w:basedOn w:val="a"/>
    <w:link w:val="aa"/>
    <w:uiPriority w:val="99"/>
    <w:semiHidden/>
    <w:rPr>
      <w:rFonts w:cs="Times New Roman"/>
      <w:kern w:val="0"/>
      <w:sz w:val="2"/>
      <w:szCs w:val="2"/>
    </w:rPr>
  </w:style>
  <w:style w:type="paragraph" w:styleId="ab">
    <w:name w:val="footer"/>
    <w:basedOn w:val="a"/>
    <w:link w:val="ac"/>
    <w:uiPriority w:val="99"/>
    <w:qFormat/>
    <w:pPr>
      <w:tabs>
        <w:tab w:val="center" w:pos="4153"/>
        <w:tab w:val="right" w:pos="8306"/>
      </w:tabs>
      <w:snapToGrid w:val="0"/>
      <w:jc w:val="left"/>
    </w:pPr>
    <w:rPr>
      <w:rFonts w:cs="Times New Roman"/>
      <w:kern w:val="0"/>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rFonts w:cs="Times New Roman"/>
      <w:kern w:val="0"/>
      <w:sz w:val="18"/>
      <w:szCs w:val="18"/>
    </w:rPr>
  </w:style>
  <w:style w:type="paragraph" w:styleId="TOC1">
    <w:name w:val="toc 1"/>
    <w:basedOn w:val="a"/>
    <w:next w:val="a"/>
    <w:uiPriority w:val="39"/>
    <w:locked/>
    <w:pPr>
      <w:tabs>
        <w:tab w:val="right" w:leader="dot" w:pos="9000"/>
      </w:tabs>
      <w:spacing w:line="600" w:lineRule="exact"/>
    </w:pPr>
    <w:rPr>
      <w:rFonts w:ascii="Times New Roman" w:eastAsia="黑体" w:hAnsi="Times New Roman" w:cs="Times New Roman"/>
      <w:sz w:val="28"/>
      <w:szCs w:val="24"/>
    </w:rPr>
  </w:style>
  <w:style w:type="paragraph" w:styleId="TOC2">
    <w:name w:val="toc 2"/>
    <w:basedOn w:val="a"/>
    <w:next w:val="a"/>
    <w:uiPriority w:val="39"/>
    <w:qFormat/>
    <w:locked/>
    <w:pPr>
      <w:tabs>
        <w:tab w:val="right" w:leader="dot" w:pos="9000"/>
      </w:tabs>
      <w:spacing w:line="460" w:lineRule="exact"/>
      <w:ind w:leftChars="200" w:left="200"/>
    </w:pPr>
    <w:rPr>
      <w:rFonts w:ascii="Times New Roman" w:eastAsia="仿宋" w:hAnsi="Times New Roman" w:cs="Times New Roman"/>
      <w:sz w:val="28"/>
      <w:szCs w:val="24"/>
    </w:rPr>
  </w:style>
  <w:style w:type="table" w:styleId="af">
    <w:name w:val="Table Grid"/>
    <w:basedOn w:val="a1"/>
    <w:unhideWhenUsed/>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qFormat/>
    <w:rPr>
      <w:color w:val="0563C1"/>
      <w:u w:val="single"/>
    </w:rPr>
  </w:style>
  <w:style w:type="character" w:customStyle="1" w:styleId="a6">
    <w:name w:val="纯文本 字符"/>
    <w:link w:val="a5"/>
    <w:uiPriority w:val="99"/>
    <w:qFormat/>
    <w:locked/>
    <w:rPr>
      <w:rFonts w:ascii="宋体" w:eastAsia="宋体" w:hAnsi="Courier New" w:cs="宋体"/>
      <w:sz w:val="21"/>
      <w:szCs w:val="21"/>
    </w:rPr>
  </w:style>
  <w:style w:type="character" w:customStyle="1" w:styleId="ac">
    <w:name w:val="页脚 字符"/>
    <w:link w:val="ab"/>
    <w:uiPriority w:val="99"/>
    <w:qFormat/>
    <w:locked/>
    <w:rPr>
      <w:sz w:val="18"/>
      <w:szCs w:val="18"/>
    </w:rPr>
  </w:style>
  <w:style w:type="character" w:customStyle="1" w:styleId="ae">
    <w:name w:val="页眉 字符"/>
    <w:link w:val="ad"/>
    <w:uiPriority w:val="99"/>
    <w:qFormat/>
    <w:locked/>
    <w:rPr>
      <w:sz w:val="18"/>
      <w:szCs w:val="18"/>
    </w:rPr>
  </w:style>
  <w:style w:type="paragraph" w:customStyle="1" w:styleId="11">
    <w:name w:val="列出段落1"/>
    <w:basedOn w:val="a"/>
    <w:uiPriority w:val="99"/>
    <w:qFormat/>
    <w:pPr>
      <w:ind w:firstLineChars="200" w:firstLine="420"/>
    </w:pPr>
  </w:style>
  <w:style w:type="character" w:customStyle="1" w:styleId="CharChar">
    <w:name w:val="Char Char"/>
    <w:uiPriority w:val="99"/>
    <w:rPr>
      <w:rFonts w:ascii="Calibri" w:hAnsi="Calibri" w:cs="Calibri"/>
      <w:kern w:val="2"/>
      <w:sz w:val="18"/>
      <w:szCs w:val="18"/>
    </w:rPr>
  </w:style>
  <w:style w:type="character" w:customStyle="1" w:styleId="apple-converted-space">
    <w:name w:val="apple-converted-space"/>
    <w:basedOn w:val="a0"/>
    <w:uiPriority w:val="99"/>
  </w:style>
  <w:style w:type="character" w:customStyle="1" w:styleId="aa">
    <w:name w:val="批注框文本 字符"/>
    <w:link w:val="a9"/>
    <w:uiPriority w:val="99"/>
    <w:semiHidden/>
    <w:qFormat/>
    <w:locked/>
    <w:rPr>
      <w:sz w:val="2"/>
      <w:szCs w:val="2"/>
    </w:rPr>
  </w:style>
  <w:style w:type="character" w:customStyle="1" w:styleId="Char">
    <w:name w:val="页脚 Char"/>
    <w:uiPriority w:val="99"/>
    <w:qFormat/>
    <w:rPr>
      <w:sz w:val="18"/>
      <w:szCs w:val="18"/>
    </w:rPr>
  </w:style>
  <w:style w:type="character" w:customStyle="1" w:styleId="a8">
    <w:name w:val="日期 字符"/>
    <w:basedOn w:val="a0"/>
    <w:link w:val="a7"/>
    <w:uiPriority w:val="99"/>
    <w:semiHidden/>
    <w:rPr>
      <w:rFonts w:cs="Calibri"/>
      <w:kern w:val="2"/>
      <w:sz w:val="21"/>
      <w:szCs w:val="21"/>
    </w:rPr>
  </w:style>
  <w:style w:type="character" w:customStyle="1" w:styleId="a4">
    <w:name w:val="批注文字 字符"/>
    <w:basedOn w:val="a0"/>
    <w:link w:val="a3"/>
    <w:qFormat/>
    <w:rPr>
      <w:rFonts w:ascii="Times New Roman" w:hAnsi="Times New Roman"/>
      <w:kern w:val="2"/>
      <w:sz w:val="24"/>
      <w:szCs w:val="24"/>
    </w:rPr>
  </w:style>
  <w:style w:type="paragraph" w:customStyle="1" w:styleId="12">
    <w:name w:val="样式 标题 1 + 首行缩进:  2 字符"/>
    <w:basedOn w:val="1"/>
    <w:qFormat/>
    <w:pPr>
      <w:widowControl/>
      <w:spacing w:before="120" w:after="60" w:line="240" w:lineRule="auto"/>
      <w:ind w:firstLine="632"/>
      <w:jc w:val="center"/>
    </w:pPr>
    <w:rPr>
      <w:rFonts w:ascii="Times New Roman" w:hAnsi="Times New Roman" w:cs="Times New Roman"/>
      <w:sz w:val="30"/>
      <w:szCs w:val="30"/>
    </w:rPr>
  </w:style>
  <w:style w:type="paragraph" w:customStyle="1" w:styleId="32205">
    <w:name w:val="样式 样式 标题 3 + 首行缩进:  2 字符 + 首行缩进:  2 字符 段后: 0.5 行"/>
    <w:basedOn w:val="a"/>
    <w:qFormat/>
    <w:pPr>
      <w:keepLines/>
      <w:numPr>
        <w:numId w:val="1"/>
      </w:numPr>
      <w:tabs>
        <w:tab w:val="left" w:pos="1277"/>
      </w:tabs>
      <w:adjustRightInd w:val="0"/>
      <w:spacing w:line="288" w:lineRule="auto"/>
      <w:jc w:val="left"/>
      <w:textAlignment w:val="baseline"/>
      <w:outlineLvl w:val="2"/>
    </w:pPr>
    <w:rPr>
      <w:rFonts w:ascii="仿宋" w:eastAsia="仿宋" w:hAnsi="仿宋" w:cs="Times New Roman"/>
      <w:bCs/>
      <w:kern w:val="0"/>
      <w:sz w:val="30"/>
      <w:szCs w:val="28"/>
    </w:rPr>
  </w:style>
  <w:style w:type="paragraph" w:styleId="af1">
    <w:name w:val="List Paragraph"/>
    <w:basedOn w:val="a"/>
    <w:uiPriority w:val="34"/>
    <w:unhideWhenUsed/>
    <w:qFormat/>
    <w:pPr>
      <w:widowControl/>
      <w:ind w:firstLineChars="200" w:firstLine="420"/>
      <w:jc w:val="center"/>
    </w:pPr>
    <w:rPr>
      <w:rFonts w:ascii="Times New Roman" w:hAnsi="Times New Roman" w:cs="Times New Roman"/>
      <w:sz w:val="24"/>
      <w:szCs w:val="24"/>
    </w:rPr>
  </w:style>
  <w:style w:type="character" w:customStyle="1" w:styleId="10">
    <w:name w:val="标题 1 字符"/>
    <w:basedOn w:val="a0"/>
    <w:link w:val="1"/>
    <w:rPr>
      <w:rFonts w:cs="Calibri"/>
      <w:b/>
      <w:bCs/>
      <w:kern w:val="44"/>
      <w:sz w:val="44"/>
      <w:szCs w:val="44"/>
    </w:rPr>
  </w:style>
  <w:style w:type="character" w:customStyle="1" w:styleId="20">
    <w:name w:val="标题 2 字符"/>
    <w:basedOn w:val="a0"/>
    <w:link w:val="2"/>
    <w:semiHidden/>
    <w:rPr>
      <w:rFonts w:asciiTheme="majorHAnsi" w:eastAsiaTheme="majorEastAsia" w:hAnsiTheme="majorHAnsi" w:cstheme="majorBidi"/>
      <w:b/>
      <w:bCs/>
      <w:kern w:val="2"/>
      <w:sz w:val="32"/>
      <w:szCs w:val="32"/>
    </w:rPr>
  </w:style>
  <w:style w:type="paragraph" w:customStyle="1" w:styleId="af2">
    <w:name w:val="表格文字左对齐"/>
    <w:basedOn w:val="a"/>
    <w:qFormat/>
    <w:pPr>
      <w:tabs>
        <w:tab w:val="left" w:pos="-108"/>
      </w:tabs>
      <w:spacing w:line="360" w:lineRule="exact"/>
    </w:pPr>
    <w:rPr>
      <w:rFonts w:ascii="Arial" w:eastAsia="楷体_GB2312" w:hAnsi="Arial" w:cs="Arial"/>
      <w:snapToGrid w:val="0"/>
      <w:spacing w:val="-6"/>
      <w:kern w:val="0"/>
      <w:szCs w:val="24"/>
    </w:rPr>
  </w:style>
  <w:style w:type="character" w:customStyle="1" w:styleId="30">
    <w:name w:val="标题 3 字符"/>
    <w:basedOn w:val="a0"/>
    <w:link w:val="3"/>
    <w:rPr>
      <w:rFonts w:cs="Calibri"/>
      <w:b/>
      <w:bCs/>
      <w:kern w:val="2"/>
      <w:sz w:val="32"/>
      <w:szCs w:val="32"/>
    </w:rPr>
  </w:style>
  <w:style w:type="character" w:styleId="af3">
    <w:name w:val="Strong"/>
    <w:qFormat/>
    <w:locked/>
    <w:rsid w:val="00734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92FDCD-6B66-4238-A886-F3C5863D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62</Pages>
  <Words>30526</Words>
  <Characters>7520</Characters>
  <Application>Microsoft Office Word</Application>
  <DocSecurity>0</DocSecurity>
  <Lines>62</Lines>
  <Paragraphs>75</Paragraphs>
  <ScaleCrop>false</ScaleCrop>
  <Company>微软中国</Company>
  <LinksUpToDate>false</LinksUpToDate>
  <CharactersWithSpaces>37971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济宁市临时建设工程规划管理办法</dc:title>
  <dc:creator>HaoYang</dc:creator>
  <cp:lastModifiedBy>Administrator</cp:lastModifiedBy>
  <cp:revision>28</cp:revision>
  <cp:lastPrinted>2020-07-03T03:20:00Z</cp:lastPrinted>
  <dcterms:created xsi:type="dcterms:W3CDTF">2020-06-11T05:52:00Z</dcterms:created>
  <dcterms:modified xsi:type="dcterms:W3CDTF">2020-07-03T07:38:00Z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