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clear" w:pos="4153"/>
          <w:tab w:val="clear" w:pos="8306"/>
        </w:tabs>
        <w:kinsoku/>
        <w:wordWrap/>
        <w:overflowPunct/>
        <w:topLinePunct w:val="0"/>
        <w:autoSpaceDE/>
        <w:autoSpaceDN/>
        <w:bidi w:val="0"/>
        <w:snapToGrid/>
        <w:spacing w:line="560" w:lineRule="exact"/>
        <w:ind w:firstLine="0" w:firstLineChars="0"/>
        <w:textAlignment w:val="auto"/>
        <w:rPr>
          <w:rFonts w:eastAsia="方正黑体简体"/>
          <w:kern w:val="2"/>
          <w:sz w:val="32"/>
          <w:szCs w:val="32"/>
          <w14:ligatures w14:val="none"/>
        </w:rPr>
      </w:pPr>
    </w:p>
    <w:p>
      <w:pPr>
        <w:keepNext w:val="0"/>
        <w:keepLines w:val="0"/>
        <w:pageBreakBefore w:val="0"/>
        <w:widowControl w:val="0"/>
        <w:tabs>
          <w:tab w:val="clear" w:pos="4153"/>
          <w:tab w:val="clear" w:pos="8306"/>
        </w:tabs>
        <w:kinsoku/>
        <w:wordWrap/>
        <w:overflowPunct/>
        <w:topLinePunct w:val="0"/>
        <w:autoSpaceDE/>
        <w:autoSpaceDN/>
        <w:bidi w:val="0"/>
        <w:snapToGrid/>
        <w:spacing w:line="560" w:lineRule="exact"/>
        <w:ind w:firstLine="0" w:firstLineChars="0"/>
        <w:textAlignment w:val="auto"/>
        <w:rPr>
          <w:rFonts w:eastAsia="方正黑体简体"/>
          <w:kern w:val="2"/>
          <w:sz w:val="32"/>
          <w:szCs w:val="32"/>
          <w14:ligatures w14:val="none"/>
        </w:rPr>
      </w:pPr>
    </w:p>
    <w:p>
      <w:pPr>
        <w:keepNext w:val="0"/>
        <w:keepLines w:val="0"/>
        <w:pageBreakBefore w:val="0"/>
        <w:widowControl w:val="0"/>
        <w:tabs>
          <w:tab w:val="clear" w:pos="4153"/>
          <w:tab w:val="clear" w:pos="8306"/>
        </w:tabs>
        <w:kinsoku/>
        <w:wordWrap/>
        <w:overflowPunct/>
        <w:topLinePunct w:val="0"/>
        <w:autoSpaceDE/>
        <w:autoSpaceDN/>
        <w:bidi w:val="0"/>
        <w:snapToGrid/>
        <w:spacing w:line="560" w:lineRule="exact"/>
        <w:ind w:firstLine="0" w:firstLineChars="0"/>
        <w:textAlignment w:val="auto"/>
        <w:rPr>
          <w:rFonts w:eastAsia="方正黑体简体"/>
          <w:kern w:val="2"/>
          <w:sz w:val="32"/>
          <w:szCs w:val="32"/>
          <w14:ligatures w14:val="none"/>
        </w:rPr>
      </w:pPr>
    </w:p>
    <w:p>
      <w:pPr>
        <w:keepNext w:val="0"/>
        <w:keepLines w:val="0"/>
        <w:pageBreakBefore w:val="0"/>
        <w:widowControl w:val="0"/>
        <w:tabs>
          <w:tab w:val="left" w:pos="3271"/>
          <w:tab w:val="clear" w:pos="4153"/>
          <w:tab w:val="clear" w:pos="8306"/>
        </w:tabs>
        <w:kinsoku/>
        <w:wordWrap/>
        <w:overflowPunct/>
        <w:topLinePunct w:val="0"/>
        <w:autoSpaceDE/>
        <w:autoSpaceDN/>
        <w:bidi w:val="0"/>
        <w:adjustRightInd w:val="0"/>
        <w:spacing w:line="560" w:lineRule="exact"/>
        <w:ind w:firstLine="0" w:firstLineChars="0"/>
        <w:jc w:val="center"/>
        <w:textAlignment w:val="auto"/>
        <w:rPr>
          <w:rFonts w:eastAsia="方正小标宋简体"/>
          <w:kern w:val="2"/>
          <w:sz w:val="44"/>
          <w:szCs w:val="44"/>
          <w:shd w:val="clear" w:color="auto" w:fill="FFFFFF"/>
          <w14:ligatures w14:val="none"/>
        </w:rPr>
      </w:pPr>
      <w:bookmarkStart w:id="0" w:name="_Toc199943698"/>
      <w:bookmarkStart w:id="1" w:name="_Toc199857854"/>
      <w:bookmarkStart w:id="2" w:name="_Toc199925795"/>
      <w:bookmarkStart w:id="3" w:name="_Toc199917946"/>
      <w:bookmarkStart w:id="4" w:name="_Toc199857797"/>
      <w:bookmarkStart w:id="5" w:name="_Toc199857810"/>
      <w:bookmarkStart w:id="6" w:name="_Hlk200371789"/>
      <w:r>
        <w:rPr>
          <w:rFonts w:hint="eastAsia" w:eastAsia="方正小标宋简体"/>
          <w:kern w:val="2"/>
          <w:sz w:val="44"/>
          <w:szCs w:val="44"/>
          <w:shd w:val="clear" w:color="auto" w:fill="FFFFFF"/>
          <w14:ligatures w14:val="none"/>
        </w:rPr>
        <w:t>济宁市采煤塌陷地综合治理办法</w:t>
      </w:r>
      <w:bookmarkEnd w:id="0"/>
      <w:bookmarkEnd w:id="1"/>
      <w:bookmarkEnd w:id="2"/>
      <w:bookmarkEnd w:id="3"/>
      <w:bookmarkEnd w:id="4"/>
      <w:bookmarkEnd w:id="5"/>
      <w:bookmarkEnd w:id="6"/>
      <w:bookmarkStart w:id="7" w:name="_Toc199857811"/>
      <w:bookmarkStart w:id="8" w:name="_Toc199857798"/>
      <w:bookmarkStart w:id="9" w:name="_Toc199943699"/>
      <w:bookmarkStart w:id="10" w:name="_Toc199857855"/>
      <w:bookmarkStart w:id="11" w:name="_Toc199917947"/>
      <w:bookmarkStart w:id="12" w:name="_Toc199925796"/>
      <w:r>
        <w:rPr>
          <w:rFonts w:eastAsia="方正小标宋简体"/>
          <w:kern w:val="2"/>
          <w:sz w:val="44"/>
          <w:szCs w:val="44"/>
          <w:shd w:val="clear" w:color="auto" w:fill="FFFFFF"/>
          <w14:ligatures w14:val="none"/>
        </w:rPr>
        <w:t>执行情况</w:t>
      </w:r>
    </w:p>
    <w:p>
      <w:pPr>
        <w:keepNext w:val="0"/>
        <w:keepLines w:val="0"/>
        <w:pageBreakBefore w:val="0"/>
        <w:widowControl w:val="0"/>
        <w:tabs>
          <w:tab w:val="left" w:pos="3271"/>
          <w:tab w:val="clear" w:pos="4153"/>
          <w:tab w:val="clear" w:pos="8306"/>
        </w:tabs>
        <w:kinsoku/>
        <w:wordWrap/>
        <w:overflowPunct/>
        <w:topLinePunct w:val="0"/>
        <w:autoSpaceDE/>
        <w:autoSpaceDN/>
        <w:bidi w:val="0"/>
        <w:adjustRightInd w:val="0"/>
        <w:spacing w:line="560" w:lineRule="exact"/>
        <w:ind w:firstLine="0" w:firstLineChars="0"/>
        <w:jc w:val="center"/>
        <w:textAlignment w:val="auto"/>
      </w:pPr>
      <w:r>
        <w:rPr>
          <w:rFonts w:eastAsia="方正小标宋简体"/>
          <w:kern w:val="2"/>
          <w:sz w:val="44"/>
          <w:szCs w:val="44"/>
          <w:shd w:val="clear" w:color="auto" w:fill="FFFFFF"/>
          <w14:ligatures w14:val="none"/>
        </w:rPr>
        <w:t>评估报告</w:t>
      </w:r>
      <w:bookmarkEnd w:id="7"/>
      <w:bookmarkEnd w:id="8"/>
      <w:bookmarkEnd w:id="9"/>
      <w:bookmarkEnd w:id="10"/>
      <w:bookmarkEnd w:id="11"/>
      <w:bookmarkEnd w:id="12"/>
      <w:r>
        <w:rPr>
          <w:rFonts w:hint="eastAsia" w:eastAsia="方正小标宋简体"/>
          <w:kern w:val="2"/>
          <w:sz w:val="44"/>
          <w:szCs w:val="44"/>
          <w:shd w:val="clear" w:color="auto" w:fill="FFFFFF"/>
          <w:lang w:eastAsia="zh-CN"/>
          <w14:ligatures w14:val="none"/>
        </w:rPr>
        <w:t>（征求意见稿）</w:t>
      </w:r>
    </w:p>
    <w:p>
      <w:pPr>
        <w:keepNext w:val="0"/>
        <w:keepLines w:val="0"/>
        <w:pageBreakBefore w:val="0"/>
        <w:widowControl w:val="0"/>
        <w:tabs>
          <w:tab w:val="left" w:pos="3271"/>
          <w:tab w:val="clear" w:pos="4153"/>
          <w:tab w:val="clear" w:pos="8306"/>
        </w:tabs>
        <w:kinsoku/>
        <w:wordWrap/>
        <w:overflowPunct/>
        <w:topLinePunct w:val="0"/>
        <w:autoSpaceDE/>
        <w:autoSpaceDN/>
        <w:bidi w:val="0"/>
        <w:adjustRightInd w:val="0"/>
        <w:spacing w:line="560" w:lineRule="exact"/>
        <w:ind w:firstLine="640"/>
        <w:jc w:val="left"/>
        <w:textAlignment w:val="auto"/>
        <w:rPr>
          <w:rFonts w:eastAsia="方正黑体简体"/>
          <w:kern w:val="2"/>
          <w:sz w:val="32"/>
          <w:szCs w:val="32"/>
          <w:shd w:val="clear" w:color="auto" w:fill="FFFFFF"/>
          <w14:ligatures w14:val="none"/>
        </w:rPr>
      </w:pPr>
    </w:p>
    <w:p>
      <w:pPr>
        <w:keepNext w:val="0"/>
        <w:keepLines w:val="0"/>
        <w:pageBreakBefore w:val="0"/>
        <w:widowControl w:val="0"/>
        <w:tabs>
          <w:tab w:val="left" w:pos="3271"/>
          <w:tab w:val="clear" w:pos="4153"/>
          <w:tab w:val="clear" w:pos="8306"/>
        </w:tabs>
        <w:kinsoku/>
        <w:wordWrap/>
        <w:overflowPunct/>
        <w:topLinePunct w:val="0"/>
        <w:autoSpaceDE/>
        <w:autoSpaceDN/>
        <w:bidi w:val="0"/>
        <w:adjustRightInd w:val="0"/>
        <w:snapToGrid w:val="0"/>
        <w:spacing w:line="560" w:lineRule="exact"/>
        <w:ind w:firstLine="640"/>
        <w:textAlignment w:val="auto"/>
        <w:rPr>
          <w:rFonts w:eastAsia="方正仿宋简体"/>
          <w:bCs/>
          <w:kern w:val="2"/>
          <w:sz w:val="32"/>
          <w:szCs w:val="32"/>
          <w:lang w:bidi="ar"/>
          <w14:ligatures w14:val="none"/>
        </w:rPr>
      </w:pPr>
      <w:r>
        <w:rPr>
          <w:rFonts w:hint="eastAsia" w:eastAsia="方正仿宋简体"/>
          <w:bCs/>
          <w:kern w:val="2"/>
          <w:sz w:val="32"/>
          <w:szCs w:val="32"/>
          <w:lang w:bidi="ar"/>
          <w14:ligatures w14:val="none"/>
        </w:rPr>
        <w:t>根据</w:t>
      </w:r>
      <w:bookmarkStart w:id="13" w:name="OLE_LINK1"/>
      <w:r>
        <w:rPr>
          <w:rFonts w:hint="default" w:ascii="Times New Roman" w:hAnsi="Times New Roman" w:eastAsia="方正仿宋简体" w:cs="Times New Roman"/>
          <w:b w:val="0"/>
          <w:bCs/>
          <w:sz w:val="32"/>
          <w:szCs w:val="32"/>
          <w:lang w:val="en-US" w:eastAsia="zh-CN" w:bidi="ar"/>
        </w:rPr>
        <w:t>国务院《重大行政决策程序暂行条例》《山东省重大行政决策程序规定》</w:t>
      </w:r>
      <w:bookmarkEnd w:id="13"/>
      <w:r>
        <w:rPr>
          <w:rFonts w:hint="default" w:ascii="Times New Roman" w:hAnsi="Times New Roman" w:eastAsia="方正仿宋简体" w:cs="Times New Roman"/>
          <w:b w:val="0"/>
          <w:bCs/>
          <w:sz w:val="32"/>
          <w:szCs w:val="32"/>
          <w:lang w:val="en-US" w:eastAsia="zh-CN" w:bidi="ar"/>
        </w:rPr>
        <w:t>《山东省重大行政决策后评估办法》</w:t>
      </w:r>
      <w:r>
        <w:rPr>
          <w:rFonts w:hint="eastAsia" w:eastAsia="方正仿宋简体" w:cs="Times New Roman"/>
          <w:b w:val="0"/>
          <w:bCs/>
          <w:sz w:val="32"/>
          <w:szCs w:val="32"/>
          <w:lang w:val="en-US" w:eastAsia="zh-CN" w:bidi="ar"/>
        </w:rPr>
        <w:t>等</w:t>
      </w:r>
      <w:r>
        <w:rPr>
          <w:rFonts w:hint="default" w:ascii="Times New Roman" w:hAnsi="Times New Roman" w:eastAsia="方正仿宋简体" w:cs="Times New Roman"/>
          <w:b w:val="0"/>
          <w:bCs/>
          <w:sz w:val="32"/>
          <w:szCs w:val="32"/>
          <w:lang w:val="en-US" w:eastAsia="zh-CN" w:bidi="ar"/>
        </w:rPr>
        <w:t>规定，</w:t>
      </w:r>
      <w:r>
        <w:rPr>
          <w:rFonts w:hint="eastAsia" w:eastAsia="方正仿宋简体"/>
          <w:bCs/>
          <w:kern w:val="2"/>
          <w:sz w:val="32"/>
          <w:szCs w:val="32"/>
          <w:lang w:bidi="ar"/>
          <w14:ligatures w14:val="none"/>
        </w:rPr>
        <w:t>市</w:t>
      </w:r>
      <w:r>
        <w:rPr>
          <w:rFonts w:hint="eastAsia" w:eastAsia="方正仿宋简体"/>
          <w:bCs/>
          <w:kern w:val="2"/>
          <w:sz w:val="32"/>
          <w:szCs w:val="32"/>
          <w:lang w:eastAsia="zh-CN" w:bidi="ar"/>
          <w14:ligatures w14:val="none"/>
        </w:rPr>
        <w:t>自然资源和规划局</w:t>
      </w:r>
      <w:r>
        <w:rPr>
          <w:rFonts w:hint="eastAsia" w:eastAsia="方正仿宋简体"/>
          <w:bCs/>
          <w:kern w:val="2"/>
          <w:sz w:val="32"/>
          <w:szCs w:val="32"/>
          <w:lang w:bidi="ar"/>
          <w14:ligatures w14:val="none"/>
        </w:rPr>
        <w:t>对202</w:t>
      </w:r>
      <w:r>
        <w:rPr>
          <w:rFonts w:hint="eastAsia" w:eastAsia="方正仿宋简体"/>
          <w:bCs/>
          <w:kern w:val="2"/>
          <w:sz w:val="32"/>
          <w:szCs w:val="32"/>
          <w:lang w:val="en-US" w:eastAsia="zh-CN" w:bidi="ar"/>
          <w14:ligatures w14:val="none"/>
        </w:rPr>
        <w:t>4</w:t>
      </w:r>
      <w:r>
        <w:rPr>
          <w:rFonts w:hint="eastAsia" w:eastAsia="方正仿宋简体"/>
          <w:bCs/>
          <w:kern w:val="2"/>
          <w:sz w:val="32"/>
          <w:szCs w:val="32"/>
          <w:lang w:bidi="ar"/>
          <w14:ligatures w14:val="none"/>
        </w:rPr>
        <w:t>年列入市政府重大行政决策事项的《</w:t>
      </w:r>
      <w:r>
        <w:rPr>
          <w:rFonts w:hint="eastAsia" w:eastAsia="方正仿宋简体"/>
          <w:bCs/>
          <w:kern w:val="2"/>
          <w:sz w:val="32"/>
          <w:szCs w:val="32"/>
          <w:lang w:eastAsia="zh-CN" w:bidi="ar"/>
          <w14:ligatures w14:val="none"/>
        </w:rPr>
        <w:t>济宁市采煤塌陷地综合治理办法</w:t>
      </w:r>
      <w:r>
        <w:rPr>
          <w:rFonts w:hint="eastAsia" w:eastAsia="方正仿宋简体"/>
          <w:bCs/>
          <w:kern w:val="2"/>
          <w:sz w:val="32"/>
          <w:szCs w:val="32"/>
          <w:lang w:bidi="ar"/>
          <w14:ligatures w14:val="none"/>
        </w:rPr>
        <w:t>》</w:t>
      </w:r>
      <w:r>
        <w:rPr>
          <w:rFonts w:hint="eastAsia" w:eastAsia="方正仿宋简体"/>
          <w:bCs/>
          <w:kern w:val="2"/>
          <w:sz w:val="32"/>
          <w:szCs w:val="32"/>
          <w:lang w:eastAsia="zh-CN" w:bidi="ar"/>
          <w14:ligatures w14:val="none"/>
        </w:rPr>
        <w:t>（济政字〔</w:t>
      </w:r>
      <w:r>
        <w:rPr>
          <w:rFonts w:hint="eastAsia" w:eastAsia="方正仿宋简体"/>
          <w:bCs/>
          <w:kern w:val="2"/>
          <w:sz w:val="32"/>
          <w:szCs w:val="32"/>
          <w:lang w:val="en-US" w:eastAsia="zh-CN" w:bidi="ar"/>
          <w14:ligatures w14:val="none"/>
        </w:rPr>
        <w:t>2024</w:t>
      </w:r>
      <w:r>
        <w:rPr>
          <w:rFonts w:hint="eastAsia" w:eastAsia="方正仿宋简体"/>
          <w:bCs/>
          <w:kern w:val="2"/>
          <w:sz w:val="32"/>
          <w:szCs w:val="32"/>
          <w:lang w:eastAsia="zh-CN" w:bidi="ar"/>
          <w14:ligatures w14:val="none"/>
        </w:rPr>
        <w:t>〕</w:t>
      </w:r>
      <w:r>
        <w:rPr>
          <w:rFonts w:hint="eastAsia" w:eastAsia="方正仿宋简体"/>
          <w:bCs/>
          <w:kern w:val="2"/>
          <w:sz w:val="32"/>
          <w:szCs w:val="32"/>
          <w:lang w:val="en-US" w:eastAsia="zh-CN" w:bidi="ar"/>
          <w14:ligatures w14:val="none"/>
        </w:rPr>
        <w:t>69号，</w:t>
      </w:r>
      <w:r>
        <w:rPr>
          <w:rFonts w:hint="eastAsia" w:eastAsia="方正仿宋简体"/>
          <w:bCs/>
          <w:kern w:val="2"/>
          <w:sz w:val="32"/>
          <w:szCs w:val="32"/>
          <w:lang w:eastAsia="zh-CN" w:bidi="ar"/>
          <w14:ligatures w14:val="none"/>
        </w:rPr>
        <w:t>以下简称“办法”）执行情况进行了评估</w:t>
      </w:r>
      <w:r>
        <w:rPr>
          <w:rFonts w:hint="eastAsia" w:eastAsia="方正仿宋简体"/>
          <w:bCs/>
          <w:kern w:val="2"/>
          <w:sz w:val="32"/>
          <w:szCs w:val="32"/>
          <w:lang w:bidi="ar"/>
          <w14:ligatures w14:val="none"/>
        </w:rPr>
        <w:t>，</w:t>
      </w:r>
      <w:r>
        <w:rPr>
          <w:rFonts w:hint="default" w:ascii="Times New Roman" w:hAnsi="Times New Roman" w:eastAsia="方正仿宋简体" w:cs="Times New Roman"/>
          <w:b w:val="0"/>
          <w:bCs/>
          <w:sz w:val="32"/>
          <w:szCs w:val="32"/>
          <w:lang w:val="en-US" w:eastAsia="zh-CN" w:bidi="ar"/>
        </w:rPr>
        <w:t>具体情况报告如下</w:t>
      </w:r>
      <w:r>
        <w:rPr>
          <w:rFonts w:hint="eastAsia" w:ascii="Times New Roman" w:hAnsi="Times New Roman" w:eastAsia="方正仿宋简体" w:cs="Times New Roman"/>
          <w:b w:val="0"/>
          <w:bCs/>
          <w:sz w:val="32"/>
          <w:szCs w:val="32"/>
          <w:lang w:val="en-US" w:eastAsia="zh-CN" w:bidi="ar"/>
        </w:rPr>
        <w:t>：</w:t>
      </w:r>
    </w:p>
    <w:p>
      <w:pPr>
        <w:pStyle w:val="8"/>
        <w:keepNext w:val="0"/>
        <w:keepLines w:val="0"/>
        <w:pageBreakBefore w:val="0"/>
        <w:widowControl w:val="0"/>
        <w:kinsoku/>
        <w:wordWrap/>
        <w:overflowPunct/>
        <w:topLinePunct w:val="0"/>
        <w:autoSpaceDE/>
        <w:autoSpaceDN/>
        <w:bidi w:val="0"/>
        <w:snapToGrid w:val="0"/>
        <w:spacing w:after="0"/>
        <w:textAlignment w:val="auto"/>
        <w:rPr>
          <w:rFonts w:hint="eastAsia" w:eastAsia="方正黑体简体"/>
          <w:lang w:eastAsia="zh-CN"/>
        </w:rPr>
      </w:pPr>
      <w:bookmarkStart w:id="14" w:name="_Toc199943701"/>
      <w:r>
        <w:rPr>
          <w:rFonts w:hint="eastAsia"/>
        </w:rPr>
        <w:t>一、评估</w:t>
      </w:r>
      <w:bookmarkEnd w:id="14"/>
      <w:r>
        <w:rPr>
          <w:rFonts w:hint="eastAsia"/>
          <w:lang w:eastAsia="zh-CN"/>
        </w:rPr>
        <w:t>的过程和方式</w:t>
      </w:r>
    </w:p>
    <w:p>
      <w:pPr>
        <w:keepNext w:val="0"/>
        <w:keepLines w:val="0"/>
        <w:pageBreakBefore w:val="0"/>
        <w:widowControl w:val="0"/>
        <w:kinsoku/>
        <w:wordWrap/>
        <w:overflowPunct/>
        <w:topLinePunct w:val="0"/>
        <w:autoSpaceDE/>
        <w:autoSpaceDN/>
        <w:bidi w:val="0"/>
        <w:snapToGrid w:val="0"/>
        <w:spacing w:line="560" w:lineRule="exact"/>
        <w:ind w:firstLine="640"/>
        <w:textAlignment w:val="auto"/>
        <w:rPr>
          <w:rFonts w:eastAsia="方正仿宋简体"/>
        </w:rPr>
      </w:pPr>
      <w:bookmarkStart w:id="15" w:name="_Toc199925799"/>
      <w:r>
        <w:rPr>
          <w:rFonts w:eastAsia="方正楷体简体"/>
          <w:sz w:val="32"/>
          <w:szCs w:val="32"/>
        </w:rPr>
        <w:t>（一）</w:t>
      </w:r>
      <w:r>
        <w:rPr>
          <w:rFonts w:hint="eastAsia" w:eastAsia="方正楷体简体"/>
          <w:sz w:val="32"/>
          <w:szCs w:val="32"/>
          <w:lang w:eastAsia="zh-CN"/>
        </w:rPr>
        <w:t>评估对象基本</w:t>
      </w:r>
      <w:r>
        <w:rPr>
          <w:rFonts w:hint="default" w:ascii="Times New Roman" w:hAnsi="Times New Roman" w:eastAsia="方正楷体简体" w:cs="Times New Roman"/>
          <w:b w:val="0"/>
          <w:bCs w:val="0"/>
          <w:i w:val="0"/>
          <w:color w:val="auto"/>
          <w:sz w:val="32"/>
          <w:szCs w:val="32"/>
          <w:shd w:val="clear" w:color="auto" w:fill="FFFFFF"/>
          <w:lang w:eastAsia="zh-CN"/>
        </w:rPr>
        <w:t>情况</w:t>
      </w:r>
      <w:bookmarkEnd w:id="15"/>
      <w:r>
        <w:rPr>
          <w:rFonts w:eastAsia="方正仿宋简体"/>
          <w:sz w:val="32"/>
          <w:szCs w:val="32"/>
        </w:rPr>
        <w:t>。</w:t>
      </w:r>
      <w:r>
        <w:rPr>
          <w:rFonts w:hint="default" w:eastAsia="方正仿宋简体"/>
          <w:sz w:val="32"/>
          <w:szCs w:val="32"/>
          <w:lang w:eastAsia="zh-CN"/>
        </w:rPr>
        <w:t>为</w:t>
      </w:r>
      <w:r>
        <w:rPr>
          <w:rFonts w:hint="default" w:eastAsia="方正仿宋简体"/>
          <w:sz w:val="32"/>
          <w:szCs w:val="32"/>
          <w:lang w:val="en-US" w:eastAsia="zh-CN"/>
        </w:rPr>
        <w:t>调整采煤塌陷地治理的管理机制，强化管理举措，提升治理成效，</w:t>
      </w:r>
      <w:r>
        <w:rPr>
          <w:rFonts w:hint="default" w:ascii="Times New Roman" w:hAnsi="Times New Roman" w:eastAsia="方正仿宋简体" w:cs="Times New Roman"/>
          <w:b w:val="0"/>
          <w:bCs w:val="0"/>
          <w:i w:val="0"/>
          <w:color w:val="auto"/>
          <w:sz w:val="32"/>
          <w:szCs w:val="32"/>
          <w:shd w:val="clear" w:color="auto" w:fill="FFFFFF"/>
          <w:lang w:eastAsia="zh-CN"/>
        </w:rPr>
        <w:t>在深入调研的基础上，</w:t>
      </w:r>
      <w:r>
        <w:rPr>
          <w:rFonts w:hint="default" w:eastAsia="方正仿宋简体"/>
          <w:sz w:val="32"/>
          <w:szCs w:val="32"/>
          <w:lang w:val="en-US" w:eastAsia="zh-CN"/>
        </w:rPr>
        <w:t>市自然资源和规划局</w:t>
      </w:r>
      <w:r>
        <w:rPr>
          <w:rFonts w:hint="eastAsia" w:eastAsia="方正仿宋简体"/>
          <w:sz w:val="32"/>
          <w:szCs w:val="32"/>
          <w:lang w:val="en-US" w:eastAsia="zh-CN"/>
        </w:rPr>
        <w:t>起草了</w:t>
      </w:r>
      <w:r>
        <w:rPr>
          <w:rFonts w:hint="default" w:eastAsia="方正仿宋简体"/>
          <w:sz w:val="32"/>
          <w:szCs w:val="32"/>
          <w:lang w:val="en-US" w:eastAsia="zh-CN"/>
        </w:rPr>
        <w:t>《</w:t>
      </w:r>
      <w:r>
        <w:rPr>
          <w:rFonts w:hint="eastAsia" w:eastAsia="方正仿宋简体"/>
          <w:bCs/>
          <w:kern w:val="2"/>
          <w:sz w:val="32"/>
          <w:szCs w:val="32"/>
          <w:lang w:eastAsia="zh-CN" w:bidi="ar"/>
          <w14:ligatures w14:val="none"/>
        </w:rPr>
        <w:t>济宁市采煤塌陷地综合治理</w:t>
      </w:r>
      <w:r>
        <w:rPr>
          <w:rFonts w:hint="default" w:eastAsia="方正仿宋简体"/>
          <w:sz w:val="32"/>
          <w:szCs w:val="32"/>
          <w:lang w:val="en-US" w:eastAsia="zh-CN"/>
        </w:rPr>
        <w:t>办法》</w:t>
      </w:r>
      <w:r>
        <w:rPr>
          <w:rFonts w:hint="eastAsia" w:eastAsia="方正仿宋简体"/>
          <w:sz w:val="32"/>
          <w:szCs w:val="32"/>
          <w:lang w:val="en-US" w:eastAsia="zh-CN"/>
        </w:rPr>
        <w:t>，</w:t>
      </w:r>
      <w:r>
        <w:rPr>
          <w:rFonts w:hint="eastAsia" w:ascii="Times New Roman" w:hAnsi="Times New Roman" w:eastAsia="方正仿宋简体" w:cs="Times New Roman"/>
          <w:b w:val="0"/>
          <w:bCs/>
          <w:sz w:val="32"/>
          <w:szCs w:val="32"/>
          <w:lang w:val="en-US" w:eastAsia="zh-CN" w:bidi="ar"/>
        </w:rPr>
        <w:t>2024年12月15日</w:t>
      </w:r>
      <w:r>
        <w:rPr>
          <w:rFonts w:hint="eastAsia" w:eastAsia="方正仿宋简体"/>
          <w:sz w:val="32"/>
          <w:szCs w:val="32"/>
          <w:lang w:val="en-US" w:eastAsia="zh-CN"/>
        </w:rPr>
        <w:t>，</w:t>
      </w:r>
      <w:r>
        <w:rPr>
          <w:rFonts w:hint="eastAsia" w:ascii="Times New Roman" w:hAnsi="Times New Roman" w:eastAsia="方正仿宋简体" w:cs="Times New Roman"/>
          <w:b w:val="0"/>
          <w:bCs/>
          <w:sz w:val="32"/>
          <w:szCs w:val="32"/>
          <w:lang w:eastAsia="zh-CN" w:bidi="ar"/>
        </w:rPr>
        <w:t>以市政府名义</w:t>
      </w:r>
      <w:r>
        <w:rPr>
          <w:rFonts w:hint="eastAsia" w:ascii="Times New Roman" w:hAnsi="Times New Roman" w:eastAsia="方正仿宋简体" w:cs="Times New Roman"/>
          <w:b w:val="0"/>
          <w:bCs w:val="0"/>
          <w:i w:val="0"/>
          <w:color w:val="auto"/>
          <w:sz w:val="32"/>
          <w:szCs w:val="32"/>
          <w:shd w:val="clear" w:color="auto" w:fill="FFFFFF"/>
          <w:lang w:val="en-US" w:eastAsia="zh-CN"/>
        </w:rPr>
        <w:t>正式印发，</w:t>
      </w:r>
      <w:r>
        <w:rPr>
          <w:rFonts w:hint="default" w:ascii="Times New Roman" w:hAnsi="Times New Roman" w:eastAsia="方正仿宋简体" w:cs="Times New Roman"/>
          <w:b w:val="0"/>
          <w:bCs w:val="0"/>
          <w:i w:val="0"/>
          <w:color w:val="auto"/>
          <w:sz w:val="32"/>
          <w:szCs w:val="32"/>
          <w:shd w:val="clear" w:color="auto" w:fill="FFFFFF"/>
          <w:lang w:val="en-US" w:eastAsia="zh-CN"/>
        </w:rPr>
        <w:t>20</w:t>
      </w:r>
      <w:r>
        <w:rPr>
          <w:rFonts w:hint="eastAsia" w:ascii="Times New Roman" w:hAnsi="Times New Roman" w:eastAsia="方正仿宋简体" w:cs="Times New Roman"/>
          <w:b w:val="0"/>
          <w:bCs w:val="0"/>
          <w:i w:val="0"/>
          <w:color w:val="auto"/>
          <w:sz w:val="32"/>
          <w:szCs w:val="32"/>
          <w:shd w:val="clear" w:color="auto" w:fill="FFFFFF"/>
          <w:lang w:val="en-US" w:eastAsia="zh-CN"/>
        </w:rPr>
        <w:t>25</w:t>
      </w:r>
      <w:r>
        <w:rPr>
          <w:rFonts w:hint="default" w:ascii="Times New Roman" w:hAnsi="Times New Roman" w:eastAsia="方正仿宋简体" w:cs="Times New Roman"/>
          <w:b w:val="0"/>
          <w:bCs w:val="0"/>
          <w:i w:val="0"/>
          <w:color w:val="auto"/>
          <w:sz w:val="32"/>
          <w:szCs w:val="32"/>
          <w:shd w:val="clear" w:color="auto" w:fill="FFFFFF"/>
          <w:lang w:val="en-US" w:eastAsia="zh-CN"/>
        </w:rPr>
        <w:t>年</w:t>
      </w:r>
      <w:r>
        <w:rPr>
          <w:rFonts w:hint="eastAsia" w:ascii="Times New Roman" w:hAnsi="Times New Roman" w:eastAsia="方正仿宋简体" w:cs="Times New Roman"/>
          <w:b w:val="0"/>
          <w:bCs w:val="0"/>
          <w:i w:val="0"/>
          <w:color w:val="auto"/>
          <w:sz w:val="32"/>
          <w:szCs w:val="32"/>
          <w:shd w:val="clear" w:color="auto" w:fill="FFFFFF"/>
          <w:lang w:val="en-US" w:eastAsia="zh-CN"/>
        </w:rPr>
        <w:t>1</w:t>
      </w:r>
      <w:r>
        <w:rPr>
          <w:rFonts w:hint="default" w:ascii="Times New Roman" w:hAnsi="Times New Roman" w:eastAsia="方正仿宋简体" w:cs="Times New Roman"/>
          <w:b w:val="0"/>
          <w:bCs w:val="0"/>
          <w:i w:val="0"/>
          <w:color w:val="auto"/>
          <w:sz w:val="32"/>
          <w:szCs w:val="32"/>
          <w:shd w:val="clear" w:color="auto" w:fill="FFFFFF"/>
          <w:lang w:val="en-US" w:eastAsia="zh-CN"/>
        </w:rPr>
        <w:t>月1</w:t>
      </w:r>
      <w:r>
        <w:rPr>
          <w:rFonts w:hint="eastAsia" w:ascii="Times New Roman" w:hAnsi="Times New Roman" w:eastAsia="方正仿宋简体" w:cs="Times New Roman"/>
          <w:b w:val="0"/>
          <w:bCs w:val="0"/>
          <w:i w:val="0"/>
          <w:color w:val="auto"/>
          <w:sz w:val="32"/>
          <w:szCs w:val="32"/>
          <w:shd w:val="clear" w:color="auto" w:fill="FFFFFF"/>
          <w:lang w:val="en-US" w:eastAsia="zh-CN"/>
        </w:rPr>
        <w:t>6</w:t>
      </w:r>
      <w:r>
        <w:rPr>
          <w:rFonts w:hint="default" w:ascii="Times New Roman" w:hAnsi="Times New Roman" w:eastAsia="方正仿宋简体" w:cs="Times New Roman"/>
          <w:b w:val="0"/>
          <w:bCs w:val="0"/>
          <w:i w:val="0"/>
          <w:color w:val="auto"/>
          <w:sz w:val="32"/>
          <w:szCs w:val="32"/>
          <w:shd w:val="clear" w:color="auto" w:fill="FFFFFF"/>
          <w:lang w:val="en-US" w:eastAsia="zh-CN"/>
        </w:rPr>
        <w:t>日施行。主要内容：一是明确各级政府、部门职责分工，夯实煤炭企业责任；</w:t>
      </w:r>
      <w:r>
        <w:rPr>
          <w:rFonts w:hint="eastAsia" w:ascii="Times New Roman" w:hAnsi="Times New Roman" w:eastAsia="方正仿宋简体" w:cs="Times New Roman"/>
          <w:b w:val="0"/>
          <w:bCs w:val="0"/>
          <w:i w:val="0"/>
          <w:color w:val="auto"/>
          <w:sz w:val="32"/>
          <w:szCs w:val="32"/>
          <w:shd w:val="clear" w:color="auto" w:fill="FFFFFF"/>
          <w:lang w:val="en-US" w:eastAsia="zh-CN"/>
        </w:rPr>
        <w:t>二是</w:t>
      </w:r>
      <w:r>
        <w:rPr>
          <w:rFonts w:hint="default" w:ascii="Times New Roman" w:hAnsi="Times New Roman" w:eastAsia="方正仿宋简体" w:cs="Times New Roman"/>
          <w:b w:val="0"/>
          <w:bCs w:val="0"/>
          <w:i w:val="0"/>
          <w:color w:val="auto"/>
          <w:sz w:val="32"/>
          <w:szCs w:val="32"/>
          <w:shd w:val="clear" w:color="auto" w:fill="FFFFFF"/>
          <w:lang w:val="en-US" w:eastAsia="zh-CN"/>
        </w:rPr>
        <w:t>建立采煤矿区土地塌陷损毁监测制度</w:t>
      </w:r>
      <w:r>
        <w:rPr>
          <w:rFonts w:hint="eastAsia" w:ascii="Times New Roman" w:hAnsi="Times New Roman" w:eastAsia="方正仿宋简体" w:cs="Times New Roman"/>
          <w:b w:val="0"/>
          <w:bCs w:val="0"/>
          <w:i w:val="0"/>
          <w:color w:val="auto"/>
          <w:sz w:val="32"/>
          <w:szCs w:val="32"/>
          <w:shd w:val="clear" w:color="auto" w:fill="FFFFFF"/>
          <w:lang w:val="en-US" w:eastAsia="zh-CN"/>
        </w:rPr>
        <w:t>；三是</w:t>
      </w:r>
      <w:r>
        <w:rPr>
          <w:rFonts w:hint="default" w:ascii="Times New Roman" w:hAnsi="Times New Roman" w:eastAsia="方正仿宋简体" w:cs="Times New Roman"/>
          <w:b w:val="0"/>
          <w:bCs/>
          <w:sz w:val="32"/>
          <w:szCs w:val="32"/>
          <w:lang w:eastAsia="zh-CN" w:bidi="ar"/>
        </w:rPr>
        <w:t>完善规划体系，</w:t>
      </w:r>
      <w:r>
        <w:rPr>
          <w:rFonts w:hint="eastAsia" w:ascii="Times New Roman" w:hAnsi="Times New Roman" w:eastAsia="方正仿宋简体" w:cs="Times New Roman"/>
          <w:b w:val="0"/>
          <w:bCs w:val="0"/>
          <w:i w:val="0"/>
          <w:color w:val="auto"/>
          <w:sz w:val="32"/>
          <w:szCs w:val="32"/>
          <w:shd w:val="clear" w:color="auto" w:fill="FFFFFF"/>
          <w:lang w:val="en-US" w:eastAsia="zh-CN"/>
        </w:rPr>
        <w:t>规范</w:t>
      </w:r>
      <w:r>
        <w:rPr>
          <w:rFonts w:hint="default" w:ascii="Times New Roman" w:hAnsi="Times New Roman" w:eastAsia="方正仿宋简体" w:cs="Times New Roman"/>
          <w:b w:val="0"/>
          <w:bCs w:val="0"/>
          <w:i w:val="0"/>
          <w:color w:val="auto"/>
          <w:sz w:val="32"/>
          <w:szCs w:val="32"/>
          <w:shd w:val="clear" w:color="auto" w:fill="FFFFFF"/>
          <w:lang w:val="en-US" w:eastAsia="zh-CN"/>
        </w:rPr>
        <w:t>项目管理机制。</w:t>
      </w:r>
    </w:p>
    <w:p>
      <w:pPr>
        <w:keepNext w:val="0"/>
        <w:keepLines w:val="0"/>
        <w:pageBreakBefore w:val="0"/>
        <w:widowControl w:val="0"/>
        <w:kinsoku/>
        <w:wordWrap/>
        <w:overflowPunct/>
        <w:topLinePunct w:val="0"/>
        <w:autoSpaceDE/>
        <w:autoSpaceDN/>
        <w:bidi w:val="0"/>
        <w:snapToGrid w:val="0"/>
        <w:spacing w:line="560" w:lineRule="exact"/>
        <w:ind w:firstLine="640"/>
        <w:textAlignment w:val="auto"/>
        <w:rPr>
          <w:rFonts w:eastAsia="方正楷体简体"/>
          <w:sz w:val="32"/>
          <w:szCs w:val="32"/>
        </w:rPr>
      </w:pPr>
      <w:bookmarkStart w:id="16" w:name="_Toc199925800"/>
      <w:r>
        <w:rPr>
          <w:rFonts w:eastAsia="方正楷体简体"/>
          <w:sz w:val="32"/>
          <w:szCs w:val="32"/>
        </w:rPr>
        <w:t>（二）</w:t>
      </w:r>
      <w:bookmarkEnd w:id="16"/>
      <w:bookmarkStart w:id="17" w:name="_Toc199943704"/>
      <w:r>
        <w:rPr>
          <w:rFonts w:eastAsia="方正楷体简体"/>
          <w:sz w:val="32"/>
          <w:szCs w:val="32"/>
        </w:rPr>
        <w:t>评估时间范围。</w:t>
      </w:r>
      <w:r>
        <w:rPr>
          <w:rFonts w:eastAsia="方正仿宋简体"/>
          <w:sz w:val="32"/>
          <w:szCs w:val="32"/>
        </w:rPr>
        <w:t>自202</w:t>
      </w:r>
      <w:r>
        <w:rPr>
          <w:rFonts w:hint="eastAsia" w:eastAsia="方正仿宋简体"/>
          <w:sz w:val="32"/>
          <w:szCs w:val="32"/>
        </w:rPr>
        <w:t>5</w:t>
      </w:r>
      <w:r>
        <w:rPr>
          <w:rFonts w:eastAsia="方正仿宋简体"/>
          <w:sz w:val="32"/>
          <w:szCs w:val="32"/>
        </w:rPr>
        <w:t>年</w:t>
      </w:r>
      <w:r>
        <w:rPr>
          <w:rFonts w:hint="eastAsia" w:eastAsia="方正仿宋简体"/>
          <w:sz w:val="32"/>
          <w:szCs w:val="32"/>
        </w:rPr>
        <w:t>1</w:t>
      </w:r>
      <w:r>
        <w:rPr>
          <w:rFonts w:eastAsia="方正仿宋简体"/>
          <w:sz w:val="32"/>
          <w:szCs w:val="32"/>
        </w:rPr>
        <w:t>月</w:t>
      </w:r>
      <w:r>
        <w:rPr>
          <w:rFonts w:hint="eastAsia" w:eastAsia="方正仿宋简体"/>
          <w:sz w:val="32"/>
          <w:szCs w:val="32"/>
        </w:rPr>
        <w:t>《办法》</w:t>
      </w:r>
      <w:r>
        <w:rPr>
          <w:rFonts w:eastAsia="方正仿宋简体"/>
          <w:sz w:val="32"/>
          <w:szCs w:val="32"/>
        </w:rPr>
        <w:t>正式实施起，至2025年6月。</w:t>
      </w:r>
    </w:p>
    <w:p>
      <w:pPr>
        <w:keepNext w:val="0"/>
        <w:keepLines w:val="0"/>
        <w:pageBreakBefore w:val="0"/>
        <w:widowControl w:val="0"/>
        <w:kinsoku/>
        <w:wordWrap/>
        <w:overflowPunct/>
        <w:topLinePunct w:val="0"/>
        <w:autoSpaceDE/>
        <w:autoSpaceDN/>
        <w:bidi w:val="0"/>
        <w:snapToGrid w:val="0"/>
        <w:spacing w:line="560" w:lineRule="exact"/>
        <w:ind w:firstLine="640"/>
        <w:textAlignment w:val="auto"/>
        <w:rPr>
          <w:rFonts w:eastAsia="方正楷体简体"/>
          <w:kern w:val="2"/>
          <w:sz w:val="32"/>
          <w:szCs w:val="32"/>
          <w:shd w:val="clear" w:color="auto" w:fill="FFFFFF"/>
          <w14:ligatures w14:val="none"/>
        </w:rPr>
      </w:pPr>
      <w:r>
        <w:rPr>
          <w:rFonts w:hint="eastAsia" w:eastAsia="方正楷体简体"/>
          <w:kern w:val="2"/>
          <w:sz w:val="32"/>
          <w:szCs w:val="32"/>
          <w:shd w:val="clear" w:color="auto" w:fill="FFFFFF"/>
          <w:lang w:eastAsia="zh-CN"/>
          <w14:ligatures w14:val="none"/>
        </w:rPr>
        <w:t>（三）</w:t>
      </w:r>
      <w:r>
        <w:rPr>
          <w:rFonts w:eastAsia="方正楷体简体"/>
          <w:kern w:val="2"/>
          <w:sz w:val="32"/>
          <w:szCs w:val="32"/>
          <w:shd w:val="clear" w:color="auto" w:fill="FFFFFF"/>
          <w14:ligatures w14:val="none"/>
        </w:rPr>
        <w:t>评估过程及方式</w:t>
      </w:r>
      <w:bookmarkEnd w:id="17"/>
      <w:r>
        <w:rPr>
          <w:rFonts w:eastAsia="方正楷体简体"/>
          <w:kern w:val="2"/>
          <w:sz w:val="32"/>
          <w:szCs w:val="32"/>
          <w:shd w:val="clear" w:color="auto" w:fill="FFFFFF"/>
          <w14:ligatures w14:val="none"/>
        </w:rPr>
        <w:t>。</w:t>
      </w:r>
      <w:r>
        <w:rPr>
          <w:rFonts w:eastAsia="方正仿宋简体"/>
          <w:kern w:val="2"/>
          <w:sz w:val="32"/>
          <w:szCs w:val="32"/>
          <w14:ligatures w14:val="none"/>
        </w:rPr>
        <w:t>根据有关规定，结合实际，抽调人员对《办法》的执行情况进行评估，评估过程中实地调研了《办法》执行以来实施的部分采煤塌陷地治理工程，邀请了部分县市区自然资源和规划主管部门及煤炭企业有关人员就文件执行情况进行座谈，并开展问卷调查，征询了</w:t>
      </w:r>
      <w:r>
        <w:rPr>
          <w:rFonts w:hint="eastAsia" w:eastAsia="方正仿宋简体"/>
          <w:kern w:val="2"/>
          <w:sz w:val="32"/>
          <w:szCs w:val="32"/>
          <w14:ligatures w14:val="none"/>
        </w:rPr>
        <w:t>意见和建议，确保评估结果的合理性。</w:t>
      </w:r>
    </w:p>
    <w:p>
      <w:pPr>
        <w:pStyle w:val="8"/>
        <w:keepNext w:val="0"/>
        <w:keepLines w:val="0"/>
        <w:pageBreakBefore w:val="0"/>
        <w:widowControl w:val="0"/>
        <w:kinsoku/>
        <w:wordWrap/>
        <w:overflowPunct/>
        <w:topLinePunct w:val="0"/>
        <w:autoSpaceDE/>
        <w:autoSpaceDN/>
        <w:bidi w:val="0"/>
        <w:snapToGrid w:val="0"/>
        <w:spacing w:after="0"/>
        <w:textAlignment w:val="auto"/>
        <w:rPr>
          <w:rFonts w:hint="eastAsia"/>
        </w:rPr>
      </w:pPr>
      <w:bookmarkStart w:id="18" w:name="_Toc199943705"/>
      <w:r>
        <w:rPr>
          <w:rFonts w:hint="eastAsia"/>
        </w:rPr>
        <w:t>二、《办法》执行的基本情况</w:t>
      </w:r>
      <w:bookmarkEnd w:id="18"/>
    </w:p>
    <w:p>
      <w:pPr>
        <w:keepNext w:val="0"/>
        <w:keepLines w:val="0"/>
        <w:pageBreakBefore w:val="0"/>
        <w:widowControl w:val="0"/>
        <w:kinsoku/>
        <w:wordWrap/>
        <w:overflowPunct/>
        <w:topLinePunct w:val="0"/>
        <w:autoSpaceDE/>
        <w:autoSpaceDN/>
        <w:bidi w:val="0"/>
        <w:snapToGrid w:val="0"/>
        <w:spacing w:line="560" w:lineRule="exact"/>
        <w:ind w:firstLine="640"/>
        <w:textAlignment w:val="auto"/>
        <w:rPr>
          <w:rFonts w:ascii="Times New Roman" w:hAnsi="Times New Roman" w:eastAsia="方正仿宋简体" w:cs="Times New Roman"/>
          <w:kern w:val="2"/>
          <w:sz w:val="32"/>
          <w:szCs w:val="32"/>
          <w:shd w:val="clear" w:color="auto" w:fill="FFFFFF"/>
          <w14:ligatures w14:val="none"/>
        </w:rPr>
      </w:pPr>
      <w:r>
        <w:rPr>
          <w:rFonts w:eastAsia="方正楷体简体"/>
          <w:kern w:val="2"/>
          <w:sz w:val="32"/>
          <w:szCs w:val="32"/>
          <w:shd w:val="clear" w:color="auto" w:fill="FFFFFF"/>
          <w14:ligatures w14:val="none"/>
        </w:rPr>
        <w:t>（一）决策内容与现行法律、法规、规章和上级政策规定一致情况。</w:t>
      </w:r>
      <w:r>
        <w:rPr>
          <w:rFonts w:eastAsia="方正仿宋简体"/>
          <w:kern w:val="2"/>
          <w:sz w:val="32"/>
          <w:szCs w:val="32"/>
          <w:shd w:val="clear" w:color="auto" w:fill="FFFFFF"/>
          <w14:ligatures w14:val="none"/>
        </w:rPr>
        <w:t>《办法》根据《土地复垦条例》《土地复垦条例实施办法》《山东省土地整治条例》《山东省采煤塌陷地综合治理验收移交办法》</w:t>
      </w:r>
      <w:r>
        <w:rPr>
          <w:rFonts w:hint="eastAsia" w:eastAsia="方正仿宋简体"/>
          <w:kern w:val="2"/>
          <w:sz w:val="32"/>
          <w:szCs w:val="32"/>
          <w:shd w:val="clear" w:color="auto" w:fill="FFFFFF"/>
          <w14:ligatures w14:val="none"/>
        </w:rPr>
        <w:t>（</w:t>
      </w:r>
      <w:r>
        <w:rPr>
          <w:rFonts w:eastAsia="方正仿宋简体"/>
          <w:kern w:val="2"/>
          <w:sz w:val="32"/>
          <w:szCs w:val="32"/>
          <w:shd w:val="clear" w:color="auto" w:fill="FFFFFF"/>
          <w14:ligatures w14:val="none"/>
        </w:rPr>
        <w:t>鲁发改能源〔2023〕904号</w:t>
      </w:r>
      <w:r>
        <w:rPr>
          <w:rFonts w:hint="eastAsia" w:eastAsia="方正仿宋简体"/>
          <w:kern w:val="2"/>
          <w:sz w:val="32"/>
          <w:szCs w:val="32"/>
          <w:shd w:val="clear" w:color="auto" w:fill="FFFFFF"/>
          <w14:ligatures w14:val="none"/>
        </w:rPr>
        <w:t>）</w:t>
      </w:r>
      <w:r>
        <w:rPr>
          <w:rFonts w:hint="eastAsia" w:eastAsia="方正仿宋简体"/>
          <w:kern w:val="2"/>
          <w:sz w:val="32"/>
          <w:szCs w:val="32"/>
          <w:shd w:val="clear" w:color="auto" w:fill="FFFFFF"/>
          <w:lang w:eastAsia="zh-CN"/>
          <w14:ligatures w14:val="none"/>
        </w:rPr>
        <w:t>和</w:t>
      </w:r>
      <w:r>
        <w:rPr>
          <w:rFonts w:eastAsia="方正仿宋简体"/>
          <w:kern w:val="2"/>
          <w:sz w:val="32"/>
          <w:szCs w:val="32"/>
          <w:shd w:val="clear" w:color="auto" w:fill="FFFFFF"/>
          <w14:ligatures w14:val="none"/>
        </w:rPr>
        <w:t>《关于进一步做好采煤塌陷地综合治理工作的通知》</w:t>
      </w:r>
      <w:r>
        <w:rPr>
          <w:rFonts w:hint="eastAsia" w:eastAsia="方正仿宋简体"/>
          <w:kern w:val="2"/>
          <w:sz w:val="32"/>
          <w:szCs w:val="32"/>
          <w:shd w:val="clear" w:color="auto" w:fill="FFFFFF"/>
          <w14:ligatures w14:val="none"/>
        </w:rPr>
        <w:t>（</w:t>
      </w:r>
      <w:r>
        <w:rPr>
          <w:rFonts w:eastAsia="方正仿宋简体"/>
          <w:kern w:val="2"/>
          <w:sz w:val="32"/>
          <w:szCs w:val="32"/>
          <w:shd w:val="clear" w:color="auto" w:fill="FFFFFF"/>
          <w14:ligatures w14:val="none"/>
        </w:rPr>
        <w:t>鲁发改能源〔2023〕59号</w:t>
      </w:r>
      <w:r>
        <w:rPr>
          <w:rFonts w:hint="eastAsia" w:eastAsia="方正仿宋简体"/>
          <w:kern w:val="2"/>
          <w:sz w:val="32"/>
          <w:szCs w:val="32"/>
          <w:shd w:val="clear" w:color="auto" w:fill="FFFFFF"/>
          <w14:ligatures w14:val="none"/>
        </w:rPr>
        <w:t>）</w:t>
      </w:r>
      <w:r>
        <w:rPr>
          <w:rFonts w:eastAsia="方正仿宋简体"/>
          <w:kern w:val="2"/>
          <w:sz w:val="32"/>
          <w:szCs w:val="32"/>
          <w:shd w:val="clear" w:color="auto" w:fill="FFFFFF"/>
          <w14:ligatures w14:val="none"/>
        </w:rPr>
        <w:t>等规定，结合济宁实际</w:t>
      </w:r>
      <w:r>
        <w:rPr>
          <w:rFonts w:hint="eastAsia" w:eastAsia="方正仿宋简体"/>
          <w:kern w:val="2"/>
          <w:sz w:val="32"/>
          <w:szCs w:val="32"/>
          <w:shd w:val="clear" w:color="auto" w:fill="FFFFFF"/>
          <w:lang w:val="en-US" w:eastAsia="zh-CN"/>
          <w14:ligatures w14:val="none"/>
        </w:rPr>
        <w:t>情况</w:t>
      </w:r>
      <w:r>
        <w:rPr>
          <w:rFonts w:eastAsia="方正仿宋简体"/>
          <w:kern w:val="2"/>
          <w:sz w:val="32"/>
          <w:szCs w:val="32"/>
          <w:shd w:val="clear" w:color="auto" w:fill="FFFFFF"/>
          <w14:ligatures w14:val="none"/>
        </w:rPr>
        <w:t>，为高质量治理采煤塌陷地、提升采煤塌陷区土地利用效益而制定，</w:t>
      </w:r>
      <w:r>
        <w:rPr>
          <w:rFonts w:hint="eastAsia" w:eastAsia="方正仿宋简体"/>
          <w:kern w:val="2"/>
          <w:sz w:val="32"/>
          <w:szCs w:val="32"/>
          <w:shd w:val="clear" w:color="auto" w:fill="FFFFFF"/>
          <w:lang w:eastAsia="zh-CN"/>
          <w14:ligatures w14:val="none"/>
        </w:rPr>
        <w:t>制定</w:t>
      </w:r>
      <w:r>
        <w:rPr>
          <w:rFonts w:eastAsia="方正仿宋简体"/>
          <w:kern w:val="2"/>
          <w:sz w:val="32"/>
          <w:szCs w:val="32"/>
          <w:shd w:val="clear" w:color="auto" w:fill="FFFFFF"/>
          <w14:ligatures w14:val="none"/>
        </w:rPr>
        <w:t>过程符合规范性文件的制定程序，</w:t>
      </w:r>
      <w:r>
        <w:rPr>
          <w:rFonts w:hint="eastAsia" w:ascii="Times New Roman" w:hAnsi="Times New Roman" w:eastAsia="方正仿宋简体" w:cs="Times New Roman"/>
          <w:kern w:val="2"/>
          <w:sz w:val="32"/>
          <w:szCs w:val="32"/>
          <w:shd w:val="clear" w:color="auto" w:fill="FFFFFF"/>
          <w:lang w:eastAsia="zh-CN"/>
          <w14:ligatures w14:val="none"/>
        </w:rPr>
        <w:t>内容与</w:t>
      </w:r>
      <w:r>
        <w:rPr>
          <w:rFonts w:hint="default" w:ascii="Times New Roman" w:hAnsi="Times New Roman" w:eastAsia="方正仿宋简体" w:cs="Times New Roman"/>
          <w:kern w:val="2"/>
          <w:sz w:val="32"/>
          <w:szCs w:val="32"/>
          <w:shd w:val="clear" w:color="auto" w:fill="FFFFFF"/>
          <w:lang w:val="en-US" w:eastAsia="zh-CN"/>
          <w14:ligatures w14:val="none"/>
        </w:rPr>
        <w:t>现行法律、法规、规章和上级政策规定</w:t>
      </w:r>
      <w:r>
        <w:rPr>
          <w:rFonts w:hint="eastAsia" w:ascii="Times New Roman" w:hAnsi="Times New Roman" w:eastAsia="方正仿宋简体" w:cs="Times New Roman"/>
          <w:kern w:val="2"/>
          <w:sz w:val="32"/>
          <w:szCs w:val="32"/>
          <w:shd w:val="clear" w:color="auto" w:fill="FFFFFF"/>
          <w:lang w:val="en-US" w:eastAsia="zh-CN"/>
          <w14:ligatures w14:val="none"/>
        </w:rPr>
        <w:t>一致</w:t>
      </w:r>
      <w:r>
        <w:rPr>
          <w:rFonts w:ascii="Times New Roman" w:hAnsi="Times New Roman" w:eastAsia="方正仿宋简体" w:cs="Times New Roman"/>
          <w:kern w:val="2"/>
          <w:sz w:val="32"/>
          <w:szCs w:val="32"/>
          <w:shd w:val="clear" w:color="auto" w:fill="FFFFFF"/>
          <w14:ligatures w14:val="none"/>
        </w:rPr>
        <w:t>。</w:t>
      </w:r>
    </w:p>
    <w:p>
      <w:pPr>
        <w:keepNext w:val="0"/>
        <w:keepLines w:val="0"/>
        <w:pageBreakBefore w:val="0"/>
        <w:widowControl w:val="0"/>
        <w:kinsoku/>
        <w:wordWrap/>
        <w:overflowPunct/>
        <w:topLinePunct w:val="0"/>
        <w:autoSpaceDE/>
        <w:autoSpaceDN/>
        <w:bidi w:val="0"/>
        <w:snapToGrid w:val="0"/>
        <w:spacing w:line="560" w:lineRule="exact"/>
        <w:ind w:firstLine="640"/>
        <w:textAlignment w:val="auto"/>
        <w:rPr>
          <w:rFonts w:eastAsia="方正仿宋简体"/>
          <w:sz w:val="32"/>
          <w:szCs w:val="32"/>
          <w:shd w:val="clear" w:color="auto" w:fill="FFFFFF"/>
        </w:rPr>
      </w:pPr>
      <w:r>
        <w:rPr>
          <w:rFonts w:ascii="方正楷体简体" w:hAnsi="方正楷体简体" w:eastAsia="方正楷体简体" w:cs="方正楷体简体"/>
          <w:sz w:val="32"/>
          <w:szCs w:val="32"/>
          <w:shd w:val="clear" w:color="auto" w:fill="FFFFFF"/>
        </w:rPr>
        <w:t>（二）决策实施结果与决策制定目的的符合程度。</w:t>
      </w:r>
      <w:r>
        <w:rPr>
          <w:rFonts w:eastAsia="方正仿宋简体"/>
          <w:sz w:val="32"/>
          <w:szCs w:val="32"/>
          <w:shd w:val="clear" w:color="auto" w:fill="FFFFFF"/>
        </w:rPr>
        <w:t>《办法》</w:t>
      </w:r>
      <w:r>
        <w:rPr>
          <w:rFonts w:hint="eastAsia" w:eastAsia="方正仿宋简体"/>
          <w:sz w:val="32"/>
          <w:szCs w:val="32"/>
          <w:shd w:val="clear" w:color="auto" w:fill="FFFFFF"/>
          <w:lang w:eastAsia="zh-CN"/>
        </w:rPr>
        <w:t>的</w:t>
      </w:r>
      <w:r>
        <w:rPr>
          <w:rFonts w:eastAsia="方正仿宋简体"/>
          <w:sz w:val="32"/>
          <w:szCs w:val="32"/>
          <w:shd w:val="clear" w:color="auto" w:fill="FFFFFF"/>
        </w:rPr>
        <w:t>实施</w:t>
      </w:r>
      <w:r>
        <w:rPr>
          <w:rFonts w:hint="eastAsia" w:eastAsia="方正仿宋简体"/>
          <w:sz w:val="32"/>
          <w:szCs w:val="32"/>
          <w:shd w:val="clear" w:color="auto" w:fill="FFFFFF"/>
          <w:lang w:eastAsia="zh-CN"/>
        </w:rPr>
        <w:t>全面规范了采煤塌陷地治理工作，也</w:t>
      </w:r>
      <w:r>
        <w:rPr>
          <w:rFonts w:hint="eastAsia" w:ascii="Times New Roman" w:hAnsi="Times New Roman" w:eastAsia="方正仿宋简体" w:cs="Times New Roman"/>
          <w:sz w:val="32"/>
          <w:szCs w:val="32"/>
          <w:shd w:val="clear" w:color="auto" w:fill="FFFFFF"/>
          <w:lang w:eastAsia="zh-CN"/>
        </w:rPr>
        <w:t>为</w:t>
      </w:r>
      <w:r>
        <w:rPr>
          <w:rFonts w:hint="eastAsia" w:ascii="Times New Roman" w:hAnsi="Times New Roman" w:eastAsia="方正仿宋简体" w:cs="Times New Roman"/>
          <w:sz w:val="32"/>
          <w:szCs w:val="32"/>
          <w:shd w:val="clear" w:color="auto" w:fill="FFFFFF"/>
          <w:lang w:val="en-US" w:eastAsia="zh-CN"/>
        </w:rPr>
        <w:t>煤炭企业履行采煤塌陷地治理义务，落实企业社会责任提供了重要依据，切实加快了治理</w:t>
      </w:r>
      <w:r>
        <w:rPr>
          <w:rFonts w:hint="eastAsia" w:eastAsia="方正仿宋简体" w:cs="Times New Roman"/>
          <w:sz w:val="32"/>
          <w:szCs w:val="32"/>
          <w:shd w:val="clear" w:color="auto" w:fill="FFFFFF"/>
          <w:lang w:val="en-US" w:eastAsia="zh-CN"/>
        </w:rPr>
        <w:t>工作</w:t>
      </w:r>
      <w:r>
        <w:rPr>
          <w:rFonts w:hint="eastAsia" w:ascii="Times New Roman" w:hAnsi="Times New Roman" w:eastAsia="方正仿宋简体" w:cs="Times New Roman"/>
          <w:sz w:val="32"/>
          <w:szCs w:val="32"/>
          <w:shd w:val="clear" w:color="auto" w:fill="FFFFFF"/>
          <w:lang w:val="en-US" w:eastAsia="zh-CN"/>
        </w:rPr>
        <w:t>进程，推动了矿区转型发展，保障了矿区群众合法权益</w:t>
      </w:r>
      <w:r>
        <w:rPr>
          <w:rFonts w:eastAsia="方正仿宋简体"/>
          <w:sz w:val="32"/>
          <w:szCs w:val="32"/>
          <w:shd w:val="clear" w:color="auto" w:fill="FFFFFF"/>
        </w:rPr>
        <w:t>，</w:t>
      </w:r>
      <w:r>
        <w:rPr>
          <w:rFonts w:hint="eastAsia" w:eastAsia="方正仿宋简体"/>
          <w:sz w:val="32"/>
          <w:szCs w:val="32"/>
          <w:shd w:val="clear" w:color="auto" w:fill="FFFFFF"/>
          <w:lang w:eastAsia="zh-CN"/>
        </w:rPr>
        <w:t>符合《办法》出台目的</w:t>
      </w:r>
      <w:r>
        <w:rPr>
          <w:rFonts w:eastAsia="方正仿宋简体"/>
          <w:sz w:val="32"/>
          <w:szCs w:val="32"/>
          <w:shd w:val="clear" w:color="auto" w:fill="FFFFFF"/>
        </w:rPr>
        <w:t>。</w:t>
      </w:r>
    </w:p>
    <w:p>
      <w:pPr>
        <w:keepNext w:val="0"/>
        <w:keepLines w:val="0"/>
        <w:pageBreakBefore w:val="0"/>
        <w:widowControl w:val="0"/>
        <w:kinsoku/>
        <w:overflowPunct/>
        <w:topLinePunct w:val="0"/>
        <w:autoSpaceDE/>
        <w:autoSpaceDN/>
        <w:bidi w:val="0"/>
        <w:spacing w:line="560" w:lineRule="exact"/>
        <w:ind w:firstLine="640"/>
        <w:textAlignment w:val="auto"/>
        <w:rPr>
          <w:rFonts w:hint="eastAsia" w:eastAsia="方正仿宋简体"/>
          <w:kern w:val="2"/>
          <w:sz w:val="32"/>
          <w:szCs w:val="32"/>
          <w:lang w:val="en-US" w:eastAsia="zh-CN"/>
          <w14:ligatures w14:val="none"/>
        </w:rPr>
      </w:pPr>
      <w:r>
        <w:rPr>
          <w:rFonts w:ascii="方正楷体简体" w:hAnsi="方正楷体简体" w:eastAsia="方正楷体简体" w:cs="方正楷体简体"/>
          <w:kern w:val="2"/>
          <w:sz w:val="32"/>
          <w:szCs w:val="32"/>
          <w:shd w:val="clear" w:color="auto" w:fill="FFFFFF"/>
          <w14:ligatures w14:val="none"/>
        </w:rPr>
        <w:t>（三）决策实施的成本效益分析。</w:t>
      </w:r>
      <w:r>
        <w:rPr>
          <w:rFonts w:hint="eastAsia" w:eastAsia="方正仿宋简体"/>
          <w:kern w:val="2"/>
          <w:sz w:val="32"/>
          <w:szCs w:val="32"/>
          <w14:ligatures w14:val="none"/>
        </w:rPr>
        <w:t>《</w:t>
      </w:r>
      <w:r>
        <w:rPr>
          <w:rFonts w:eastAsia="方正仿宋简体"/>
          <w:kern w:val="2"/>
          <w:sz w:val="32"/>
          <w:szCs w:val="32"/>
          <w14:ligatures w14:val="none"/>
        </w:rPr>
        <w:t>办法</w:t>
      </w:r>
      <w:r>
        <w:rPr>
          <w:rFonts w:hint="eastAsia" w:eastAsia="方正仿宋简体"/>
          <w:kern w:val="2"/>
          <w:sz w:val="32"/>
          <w:szCs w:val="32"/>
          <w14:ligatures w14:val="none"/>
        </w:rPr>
        <w:t>》执行</w:t>
      </w:r>
      <w:r>
        <w:rPr>
          <w:rFonts w:eastAsia="方正仿宋简体"/>
          <w:kern w:val="2"/>
          <w:sz w:val="32"/>
          <w:szCs w:val="32"/>
          <w14:ligatures w14:val="none"/>
        </w:rPr>
        <w:t>以来，</w:t>
      </w:r>
      <w:r>
        <w:rPr>
          <w:rFonts w:hint="eastAsia" w:eastAsia="方正仿宋简体"/>
          <w:kern w:val="2"/>
          <w:sz w:val="32"/>
          <w:szCs w:val="32"/>
          <w14:ligatures w14:val="none"/>
        </w:rPr>
        <w:t>在市委市政府的统筹部署下，通过市县两级政府、相关部门及煤炭企业的协同推进，进一步</w:t>
      </w:r>
      <w:r>
        <w:rPr>
          <w:rFonts w:hint="eastAsia" w:eastAsia="方正仿宋简体"/>
          <w:kern w:val="2"/>
          <w:sz w:val="32"/>
          <w:szCs w:val="32"/>
          <w:lang w:eastAsia="zh-CN"/>
          <w14:ligatures w14:val="none"/>
        </w:rPr>
        <w:t>形成了</w:t>
      </w:r>
      <w:r>
        <w:rPr>
          <w:rFonts w:hint="eastAsia" w:eastAsia="方正仿宋简体"/>
          <w:kern w:val="2"/>
          <w:sz w:val="32"/>
          <w:szCs w:val="32"/>
          <w14:ligatures w14:val="none"/>
        </w:rPr>
        <w:t>责任明晰、流程规范的治理体系</w:t>
      </w:r>
      <w:r>
        <w:rPr>
          <w:rFonts w:hint="eastAsia" w:eastAsia="方正仿宋简体"/>
          <w:kern w:val="2"/>
          <w:sz w:val="32"/>
          <w:szCs w:val="32"/>
          <w:lang w:eastAsia="zh-CN"/>
          <w14:ligatures w14:val="none"/>
        </w:rPr>
        <w:t>，加快了全市采煤塌陷地治理进程，实现了显著的经济社会效益</w:t>
      </w:r>
      <w:r>
        <w:rPr>
          <w:rFonts w:hint="eastAsia" w:eastAsia="方正仿宋简体"/>
          <w:kern w:val="2"/>
          <w:sz w:val="32"/>
          <w:szCs w:val="32"/>
          <w14:ligatures w14:val="none"/>
        </w:rPr>
        <w:t>。</w:t>
      </w:r>
      <w:r>
        <w:rPr>
          <w:rFonts w:hint="eastAsia" w:eastAsia="方正仿宋简体"/>
          <w:kern w:val="2"/>
          <w:sz w:val="32"/>
          <w:szCs w:val="32"/>
          <w:lang w:eastAsia="zh-CN"/>
          <w14:ligatures w14:val="none"/>
        </w:rPr>
        <w:t>根据《办法》有关规定，</w:t>
      </w:r>
      <w:r>
        <w:rPr>
          <w:rFonts w:hint="eastAsia" w:eastAsia="方正仿宋简体"/>
          <w:kern w:val="2"/>
          <w:sz w:val="32"/>
          <w:szCs w:val="32"/>
          <w14:ligatures w14:val="none"/>
        </w:rPr>
        <w:t>开展</w:t>
      </w:r>
      <w:r>
        <w:rPr>
          <w:rFonts w:eastAsia="方正仿宋简体"/>
          <w:kern w:val="2"/>
          <w:sz w:val="32"/>
          <w:szCs w:val="32"/>
          <w14:ligatures w14:val="none"/>
        </w:rPr>
        <w:t>了</w:t>
      </w:r>
      <w:r>
        <w:rPr>
          <w:rFonts w:hint="eastAsia" w:eastAsia="方正仿宋简体"/>
          <w:kern w:val="2"/>
          <w:sz w:val="32"/>
          <w:szCs w:val="32"/>
          <w14:ligatures w14:val="none"/>
        </w:rPr>
        <w:t>2024</w:t>
      </w:r>
      <w:r>
        <w:rPr>
          <w:rFonts w:eastAsia="方正仿宋简体"/>
          <w:kern w:val="2"/>
          <w:sz w:val="32"/>
          <w:szCs w:val="32"/>
          <w14:ligatures w14:val="none"/>
        </w:rPr>
        <w:t>年度济宁市采煤塌陷地现状更新调查，</w:t>
      </w:r>
      <w:r>
        <w:rPr>
          <w:rFonts w:hint="eastAsia" w:eastAsia="方正仿宋简体"/>
          <w:kern w:val="2"/>
          <w:sz w:val="32"/>
          <w:szCs w:val="32"/>
          <w14:ligatures w14:val="none"/>
        </w:rPr>
        <w:t>完善</w:t>
      </w:r>
      <w:r>
        <w:rPr>
          <w:rFonts w:eastAsia="方正仿宋简体"/>
          <w:kern w:val="2"/>
          <w:sz w:val="32"/>
          <w:szCs w:val="32"/>
          <w14:ligatures w14:val="none"/>
        </w:rPr>
        <w:t>了动态监管</w:t>
      </w:r>
      <w:r>
        <w:rPr>
          <w:rFonts w:hint="eastAsia" w:eastAsia="方正仿宋简体"/>
          <w:kern w:val="2"/>
          <w:sz w:val="32"/>
          <w:szCs w:val="32"/>
          <w14:ligatures w14:val="none"/>
        </w:rPr>
        <w:t>体系</w:t>
      </w:r>
      <w:r>
        <w:rPr>
          <w:rFonts w:eastAsia="方正仿宋简体"/>
          <w:kern w:val="2"/>
          <w:sz w:val="32"/>
          <w:szCs w:val="32"/>
          <w14:ligatures w14:val="none"/>
        </w:rPr>
        <w:t>，</w:t>
      </w:r>
      <w:r>
        <w:rPr>
          <w:rFonts w:hint="eastAsia" w:eastAsia="方正仿宋简体"/>
          <w:kern w:val="2"/>
          <w:sz w:val="32"/>
          <w:szCs w:val="32"/>
          <w14:ligatures w14:val="none"/>
        </w:rPr>
        <w:t>优化</w:t>
      </w:r>
      <w:r>
        <w:rPr>
          <w:rFonts w:eastAsia="方正仿宋简体"/>
          <w:kern w:val="2"/>
          <w:sz w:val="32"/>
          <w:szCs w:val="32"/>
          <w14:ligatures w14:val="none"/>
        </w:rPr>
        <w:t>数据信息化管理，</w:t>
      </w:r>
      <w:r>
        <w:rPr>
          <w:rFonts w:eastAsia="方正仿宋简体"/>
          <w:bCs/>
          <w:kern w:val="2"/>
          <w:sz w:val="32"/>
          <w:szCs w:val="32"/>
          <w14:ligatures w14:val="none"/>
        </w:rPr>
        <w:t>确保了数据现势性，提升了工作效率，为上级科学决策奠定了坚实基础</w:t>
      </w:r>
      <w:r>
        <w:rPr>
          <w:rFonts w:hint="eastAsia" w:eastAsia="方正仿宋简体"/>
          <w:bCs/>
          <w:kern w:val="2"/>
          <w:sz w:val="32"/>
          <w:szCs w:val="32"/>
          <w14:ligatures w14:val="none"/>
        </w:rPr>
        <w:t>；根据省、市采煤塌陷地综合治理规划安排及更新调查情况，制定了2025年度治理计划，</w:t>
      </w:r>
      <w:r>
        <w:rPr>
          <w:rFonts w:hint="eastAsia" w:eastAsia="方正仿宋简体"/>
          <w:bCs/>
          <w:kern w:val="2"/>
          <w:sz w:val="32"/>
          <w:szCs w:val="32"/>
          <w:lang w:eastAsia="zh-CN"/>
          <w14:ligatures w14:val="none"/>
        </w:rPr>
        <w:t>分解落实到具体地块、项目</w:t>
      </w:r>
      <w:r>
        <w:rPr>
          <w:rFonts w:hint="eastAsia" w:eastAsia="方正仿宋简体"/>
          <w:kern w:val="2"/>
          <w:sz w:val="32"/>
          <w:szCs w:val="32"/>
          <w14:ligatures w14:val="none"/>
        </w:rPr>
        <w:t>，明确</w:t>
      </w:r>
      <w:r>
        <w:rPr>
          <w:rFonts w:hint="eastAsia" w:eastAsia="方正仿宋简体"/>
          <w:kern w:val="2"/>
          <w:sz w:val="32"/>
          <w:szCs w:val="32"/>
          <w:lang w:eastAsia="zh-CN"/>
          <w14:ligatures w14:val="none"/>
        </w:rPr>
        <w:t>年度</w:t>
      </w:r>
      <w:r>
        <w:rPr>
          <w:rFonts w:hint="eastAsia" w:eastAsia="方正仿宋简体"/>
          <w:kern w:val="2"/>
          <w:sz w:val="32"/>
          <w:szCs w:val="32"/>
          <w14:ligatures w14:val="none"/>
        </w:rPr>
        <w:t>治理区域</w:t>
      </w:r>
      <w:r>
        <w:rPr>
          <w:rFonts w:hint="eastAsia" w:eastAsia="方正仿宋简体"/>
          <w:kern w:val="2"/>
          <w:sz w:val="32"/>
          <w:szCs w:val="32"/>
          <w:lang w:eastAsia="zh-CN"/>
          <w14:ligatures w14:val="none"/>
        </w:rPr>
        <w:t>和</w:t>
      </w:r>
      <w:r>
        <w:rPr>
          <w:rFonts w:hint="eastAsia" w:eastAsia="方正仿宋简体"/>
          <w:kern w:val="2"/>
          <w:sz w:val="32"/>
          <w:szCs w:val="32"/>
          <w14:ligatures w14:val="none"/>
        </w:rPr>
        <w:t>治理标准，</w:t>
      </w:r>
      <w:r>
        <w:rPr>
          <w:rFonts w:hint="eastAsia" w:eastAsia="方正仿宋简体"/>
          <w:kern w:val="2"/>
          <w:sz w:val="32"/>
          <w:szCs w:val="32"/>
          <w:lang w:eastAsia="zh-CN"/>
          <w14:ligatures w14:val="none"/>
        </w:rPr>
        <w:t>同时强化推进举措，严格项目实施管理，</w:t>
      </w:r>
      <w:r>
        <w:rPr>
          <w:rFonts w:hint="eastAsia" w:eastAsia="方正仿宋简体"/>
          <w:kern w:val="2"/>
          <w:sz w:val="32"/>
          <w:szCs w:val="32"/>
          <w14:ligatures w14:val="none"/>
        </w:rPr>
        <w:t>确保</w:t>
      </w:r>
      <w:r>
        <w:rPr>
          <w:rFonts w:hint="eastAsia" w:eastAsia="方正仿宋简体"/>
          <w:kern w:val="2"/>
          <w:sz w:val="32"/>
          <w:szCs w:val="32"/>
          <w:lang w:eastAsia="zh-CN"/>
          <w14:ligatures w14:val="none"/>
        </w:rPr>
        <w:t>治理工作进度和成效</w:t>
      </w:r>
      <w:r>
        <w:rPr>
          <w:rFonts w:hint="eastAsia" w:eastAsia="方正仿宋简体"/>
          <w:kern w:val="2"/>
          <w:sz w:val="32"/>
          <w:szCs w:val="32"/>
          <w14:ligatures w14:val="none"/>
        </w:rPr>
        <w:t>。</w:t>
      </w:r>
      <w:r>
        <w:rPr>
          <w:rFonts w:hint="eastAsia" w:eastAsia="方正仿宋简体"/>
          <w:kern w:val="2"/>
          <w:sz w:val="32"/>
          <w:szCs w:val="32"/>
          <w:lang w:eastAsia="zh-CN"/>
          <w14:ligatures w14:val="none"/>
        </w:rPr>
        <w:t>截至</w:t>
      </w:r>
      <w:r>
        <w:rPr>
          <w:rFonts w:hint="eastAsia" w:eastAsia="方正仿宋简体"/>
          <w:kern w:val="2"/>
          <w:sz w:val="32"/>
          <w:szCs w:val="32"/>
          <w:lang w:val="en-US" w:eastAsia="zh-CN"/>
          <w14:ligatures w14:val="none"/>
        </w:rPr>
        <w:t>2025年6月，全市治理稳沉塌陷地1.58万亩，年度计划完成率达77%。</w:t>
      </w:r>
    </w:p>
    <w:p>
      <w:pPr>
        <w:keepNext w:val="0"/>
        <w:keepLines w:val="0"/>
        <w:pageBreakBefore w:val="0"/>
        <w:widowControl w:val="0"/>
        <w:kinsoku/>
        <w:overflowPunct/>
        <w:topLinePunct w:val="0"/>
        <w:autoSpaceDE/>
        <w:autoSpaceDN/>
        <w:bidi w:val="0"/>
        <w:spacing w:line="560" w:lineRule="exact"/>
        <w:ind w:firstLine="640"/>
        <w:textAlignment w:val="auto"/>
        <w:rPr>
          <w:rFonts w:hint="eastAsia" w:eastAsia="方正仿宋简体" w:cs="Times New Roman"/>
          <w:kern w:val="2"/>
          <w:sz w:val="32"/>
          <w:szCs w:val="32"/>
          <w:lang w:val="en-US" w:eastAsia="zh-CN"/>
          <w14:ligatures w14:val="none"/>
        </w:rPr>
      </w:pPr>
      <w:r>
        <w:rPr>
          <w:rFonts w:hint="eastAsia" w:ascii="方正楷体简体" w:hAnsi="方正楷体简体" w:eastAsia="方正楷体简体" w:cs="方正楷体简体"/>
          <w:kern w:val="2"/>
          <w:sz w:val="32"/>
          <w:szCs w:val="32"/>
          <w:shd w:val="clear" w:color="auto" w:fill="FFFFFF"/>
          <w:lang w:val="en-US" w:eastAsia="zh-CN"/>
          <w14:ligatures w14:val="none"/>
        </w:rPr>
        <w:t>（四）实施对象对决策的接受程度。</w:t>
      </w:r>
      <w:r>
        <w:rPr>
          <w:rFonts w:eastAsia="方正仿宋简体"/>
          <w:sz w:val="32"/>
          <w:szCs w:val="32"/>
          <w:shd w:val="clear" w:color="auto" w:fill="FFFFFF"/>
        </w:rPr>
        <w:t>根据座谈会和问卷调查情况，有关县</w:t>
      </w:r>
      <w:r>
        <w:rPr>
          <w:rFonts w:hint="eastAsia" w:eastAsia="方正仿宋简体"/>
          <w:sz w:val="32"/>
          <w:szCs w:val="32"/>
          <w:shd w:val="clear" w:color="auto" w:fill="FFFFFF"/>
          <w:lang w:eastAsia="zh-CN"/>
        </w:rPr>
        <w:t>（市、区）</w:t>
      </w:r>
      <w:r>
        <w:rPr>
          <w:rFonts w:eastAsia="方正仿宋简体"/>
          <w:sz w:val="32"/>
          <w:szCs w:val="32"/>
          <w:shd w:val="clear" w:color="auto" w:fill="FFFFFF"/>
        </w:rPr>
        <w:t>和煤炭企业均表示</w:t>
      </w:r>
      <w:r>
        <w:rPr>
          <w:rFonts w:hint="eastAsia" w:eastAsia="方正仿宋简体"/>
          <w:kern w:val="2"/>
          <w:sz w:val="32"/>
          <w:szCs w:val="32"/>
          <w14:ligatures w14:val="none"/>
        </w:rPr>
        <w:t>《</w:t>
      </w:r>
      <w:r>
        <w:rPr>
          <w:rFonts w:eastAsia="方正仿宋简体"/>
          <w:kern w:val="2"/>
          <w:sz w:val="32"/>
          <w:szCs w:val="32"/>
          <w14:ligatures w14:val="none"/>
        </w:rPr>
        <w:t>办法</w:t>
      </w:r>
      <w:r>
        <w:rPr>
          <w:rFonts w:hint="eastAsia" w:eastAsia="方正仿宋简体"/>
          <w:kern w:val="2"/>
          <w:sz w:val="32"/>
          <w:szCs w:val="32"/>
          <w14:ligatures w14:val="none"/>
        </w:rPr>
        <w:t>》的</w:t>
      </w:r>
      <w:r>
        <w:rPr>
          <w:rFonts w:hint="eastAsia" w:eastAsia="方正仿宋简体"/>
          <w:kern w:val="2"/>
          <w:sz w:val="32"/>
          <w:szCs w:val="32"/>
          <w:lang w:eastAsia="zh-CN"/>
          <w14:ligatures w14:val="none"/>
        </w:rPr>
        <w:t>实施</w:t>
      </w:r>
      <w:r>
        <w:rPr>
          <w:rFonts w:hint="eastAsia" w:ascii="Times New Roman" w:hAnsi="Times New Roman" w:eastAsia="方正仿宋简体" w:cs="Times New Roman"/>
          <w:kern w:val="2"/>
          <w:sz w:val="32"/>
          <w:szCs w:val="32"/>
          <w:lang w:eastAsia="zh-CN"/>
          <w14:ligatures w14:val="none"/>
        </w:rPr>
        <w:t>为</w:t>
      </w:r>
      <w:r>
        <w:rPr>
          <w:rFonts w:hint="eastAsia" w:ascii="Times New Roman" w:hAnsi="Times New Roman" w:eastAsia="方正仿宋简体" w:cs="Times New Roman"/>
          <w:kern w:val="2"/>
          <w:sz w:val="32"/>
          <w:szCs w:val="32"/>
          <w:lang w:val="en-US" w:eastAsia="zh-CN"/>
          <w14:ligatures w14:val="none"/>
        </w:rPr>
        <w:t>有关部门、县（市、区）及煤炭企业规范实施治理提供了重要支撑，</w:t>
      </w:r>
      <w:r>
        <w:rPr>
          <w:rFonts w:hint="eastAsia" w:eastAsia="方正仿宋简体" w:cs="Times New Roman"/>
          <w:kern w:val="2"/>
          <w:sz w:val="32"/>
          <w:szCs w:val="32"/>
          <w:lang w:val="en-US" w:eastAsia="zh-CN"/>
          <w14:ligatures w14:val="none"/>
        </w:rPr>
        <w:t>对《办法》</w:t>
      </w:r>
      <w:r>
        <w:rPr>
          <w:rFonts w:hint="eastAsia" w:ascii="Times New Roman" w:hAnsi="Times New Roman" w:eastAsia="方正仿宋简体" w:cs="Times New Roman"/>
          <w:kern w:val="2"/>
          <w:sz w:val="32"/>
          <w:szCs w:val="32"/>
          <w:lang w:val="en-US" w:eastAsia="zh-CN"/>
          <w14:ligatures w14:val="none"/>
        </w:rPr>
        <w:t>接受程度</w:t>
      </w:r>
      <w:r>
        <w:rPr>
          <w:rFonts w:hint="eastAsia" w:eastAsia="方正仿宋简体" w:cs="Times New Roman"/>
          <w:kern w:val="2"/>
          <w:sz w:val="32"/>
          <w:szCs w:val="32"/>
          <w:lang w:val="en-US" w:eastAsia="zh-CN"/>
          <w14:ligatures w14:val="none"/>
        </w:rPr>
        <w:t>较高。</w:t>
      </w:r>
    </w:p>
    <w:p>
      <w:pPr>
        <w:keepNext w:val="0"/>
        <w:keepLines w:val="0"/>
        <w:pageBreakBefore w:val="0"/>
        <w:widowControl w:val="0"/>
        <w:kinsoku/>
        <w:overflowPunct/>
        <w:topLinePunct w:val="0"/>
        <w:autoSpaceDE/>
        <w:autoSpaceDN/>
        <w:bidi w:val="0"/>
        <w:spacing w:line="560" w:lineRule="exact"/>
        <w:ind w:firstLine="640"/>
        <w:textAlignment w:val="auto"/>
        <w:rPr>
          <w:rFonts w:hint="eastAsia" w:ascii="Times New Roman" w:hAnsi="Times New Roman" w:eastAsia="方正仿宋简体" w:cs="Times New Roman"/>
          <w:kern w:val="2"/>
          <w:sz w:val="32"/>
          <w:szCs w:val="32"/>
          <w:lang w:val="en-US" w:eastAsia="zh-CN"/>
          <w14:ligatures w14:val="none"/>
        </w:rPr>
      </w:pPr>
      <w:r>
        <w:rPr>
          <w:rFonts w:hint="eastAsia" w:ascii="方正楷体简体" w:hAnsi="方正楷体简体" w:eastAsia="方正楷体简体" w:cs="方正楷体简体"/>
          <w:kern w:val="2"/>
          <w:sz w:val="32"/>
          <w:szCs w:val="32"/>
          <w:shd w:val="clear" w:color="auto" w:fill="FFFFFF"/>
          <w:lang w:val="en-US" w:eastAsia="zh-CN"/>
          <w14:ligatures w14:val="none"/>
        </w:rPr>
        <w:t>（五）决策实施与经济社会发展的符合程度。</w:t>
      </w:r>
      <w:r>
        <w:rPr>
          <w:rFonts w:hint="eastAsia" w:eastAsia="方正仿宋简体"/>
          <w:kern w:val="2"/>
          <w:sz w:val="32"/>
          <w:szCs w:val="32"/>
          <w14:ligatures w14:val="none"/>
        </w:rPr>
        <w:t>《</w:t>
      </w:r>
      <w:r>
        <w:rPr>
          <w:rFonts w:eastAsia="方正仿宋简体"/>
          <w:kern w:val="2"/>
          <w:sz w:val="32"/>
          <w:szCs w:val="32"/>
          <w14:ligatures w14:val="none"/>
        </w:rPr>
        <w:t>办法</w:t>
      </w:r>
      <w:r>
        <w:rPr>
          <w:rFonts w:hint="eastAsia" w:eastAsia="方正仿宋简体"/>
          <w:kern w:val="2"/>
          <w:sz w:val="32"/>
          <w:szCs w:val="32"/>
          <w14:ligatures w14:val="none"/>
        </w:rPr>
        <w:t>》</w:t>
      </w:r>
      <w:r>
        <w:rPr>
          <w:rFonts w:hint="eastAsia" w:ascii="Times New Roman" w:hAnsi="Times New Roman" w:eastAsia="方正仿宋简体" w:cs="Times New Roman"/>
          <w:kern w:val="2"/>
          <w:sz w:val="32"/>
          <w:szCs w:val="32"/>
          <w:lang w:val="en-US" w:eastAsia="zh-CN"/>
          <w14:ligatures w14:val="none"/>
        </w:rPr>
        <w:t>落实了上级耕地保护、生态保护最新政策要求，明确了新形势下采煤塌陷地治理工作方向，符合济宁市经济社会发展要求。</w:t>
      </w:r>
    </w:p>
    <w:p>
      <w:pPr>
        <w:keepNext w:val="0"/>
        <w:keepLines w:val="0"/>
        <w:pageBreakBefore w:val="0"/>
        <w:widowControl w:val="0"/>
        <w:kinsoku/>
        <w:overflowPunct/>
        <w:topLinePunct w:val="0"/>
        <w:autoSpaceDE/>
        <w:autoSpaceDN/>
        <w:bidi w:val="0"/>
        <w:spacing w:line="560" w:lineRule="exact"/>
        <w:ind w:firstLine="640"/>
        <w:textAlignment w:val="auto"/>
        <w:rPr>
          <w:rFonts w:hint="eastAsia" w:ascii="方正仿宋简体" w:hAnsi="方正仿宋简体" w:eastAsia="方正仿宋简体" w:cs="方正仿宋简体"/>
          <w:kern w:val="2"/>
          <w:sz w:val="32"/>
          <w:szCs w:val="32"/>
          <w:lang w:eastAsia="zh-CN"/>
          <w14:ligatures w14:val="none"/>
        </w:rPr>
      </w:pPr>
      <w:r>
        <w:rPr>
          <w:rFonts w:hint="eastAsia" w:ascii="方正楷体简体" w:hAnsi="方正楷体简体" w:eastAsia="方正楷体简体" w:cs="方正楷体简体"/>
          <w:kern w:val="2"/>
          <w:sz w:val="32"/>
          <w:szCs w:val="32"/>
          <w:shd w:val="clear" w:color="auto" w:fill="FFFFFF"/>
          <w:lang w:val="en-US" w:eastAsia="zh-CN"/>
          <w14:ligatures w14:val="none"/>
        </w:rPr>
        <w:t>（六）决策实施带来的影响和可预期的长远影响。《</w:t>
      </w:r>
      <w:r>
        <w:rPr>
          <w:rFonts w:hint="eastAsia" w:ascii="Times New Roman" w:hAnsi="Times New Roman" w:eastAsia="方正仿宋简体" w:cs="Times New Roman"/>
          <w:kern w:val="2"/>
          <w:sz w:val="32"/>
          <w:szCs w:val="32"/>
          <w:lang w:val="en-US" w:eastAsia="zh-CN"/>
          <w14:ligatures w14:val="none"/>
        </w:rPr>
        <w:t>办法》紧密结合济宁实际，进一步明确了采煤塌陷地治理责任主体，依据部门职责确定分工，并从规划计划制定到项目实施，提出了具体要求，指导有关部门、县市区及煤炭企业规范实施治理。下步将持续深入</w:t>
      </w:r>
      <w:r>
        <w:rPr>
          <w:rFonts w:hint="eastAsia" w:ascii="Times New Roman" w:hAnsi="Times New Roman" w:eastAsia="方正仿宋简体" w:cs="Times New Roman"/>
          <w:kern w:val="2"/>
          <w:sz w:val="32"/>
          <w:szCs w:val="32"/>
          <w:lang w:eastAsia="zh-CN"/>
          <w14:ligatures w14:val="none"/>
        </w:rPr>
        <w:t>推动全市采煤塌陷地治理工作，助力区域经济高质量发展，维护矿区群众合法权益和生命财产安全，全面实现塌陷包袱资源化转变。</w:t>
      </w:r>
    </w:p>
    <w:p>
      <w:pPr>
        <w:pStyle w:val="8"/>
        <w:keepNext w:val="0"/>
        <w:keepLines w:val="0"/>
        <w:pageBreakBefore w:val="0"/>
        <w:widowControl w:val="0"/>
        <w:kinsoku/>
        <w:wordWrap/>
        <w:overflowPunct/>
        <w:topLinePunct w:val="0"/>
        <w:autoSpaceDE/>
        <w:autoSpaceDN/>
        <w:bidi w:val="0"/>
        <w:snapToGrid w:val="0"/>
        <w:spacing w:after="0"/>
        <w:textAlignment w:val="auto"/>
        <w:rPr>
          <w:rFonts w:hint="eastAsia"/>
        </w:rPr>
      </w:pPr>
      <w:bookmarkStart w:id="19" w:name="_Toc199943706"/>
      <w:r>
        <w:rPr>
          <w:rFonts w:hint="eastAsia"/>
        </w:rPr>
        <w:t>三、《办法》执行中存在的主要问题和原因</w:t>
      </w:r>
      <w:bookmarkEnd w:id="19"/>
    </w:p>
    <w:p>
      <w:pPr>
        <w:keepNext w:val="0"/>
        <w:keepLines w:val="0"/>
        <w:pageBreakBefore w:val="0"/>
        <w:widowControl w:val="0"/>
        <w:tabs>
          <w:tab w:val="left" w:pos="3271"/>
          <w:tab w:val="clear" w:pos="4153"/>
          <w:tab w:val="clear" w:pos="8306"/>
        </w:tabs>
        <w:kinsoku/>
        <w:wordWrap/>
        <w:overflowPunct/>
        <w:topLinePunct w:val="0"/>
        <w:autoSpaceDE/>
        <w:autoSpaceDN/>
        <w:bidi w:val="0"/>
        <w:adjustRightInd w:val="0"/>
        <w:snapToGrid w:val="0"/>
        <w:spacing w:line="560" w:lineRule="exact"/>
        <w:ind w:firstLine="640"/>
        <w:textAlignment w:val="auto"/>
        <w:rPr>
          <w:rFonts w:hint="eastAsia" w:eastAsia="方正仿宋简体"/>
          <w:bCs/>
          <w:kern w:val="2"/>
          <w:sz w:val="32"/>
          <w:szCs w:val="32"/>
          <w:lang w:val="en-US" w:eastAsia="zh-CN" w:bidi="ar"/>
          <w14:ligatures w14:val="none"/>
        </w:rPr>
      </w:pPr>
      <w:bookmarkStart w:id="20" w:name="_Toc199943707"/>
      <w:r>
        <w:rPr>
          <w:rFonts w:hint="eastAsia" w:eastAsia="方正仿宋简体"/>
          <w:bCs/>
          <w:kern w:val="2"/>
          <w:sz w:val="32"/>
          <w:szCs w:val="32"/>
          <w:lang w:eastAsia="zh-CN" w:bidi="ar"/>
          <w14:ligatures w14:val="none"/>
        </w:rPr>
        <w:t>《办法》规范了治理项目实施管理程序，但具体实施细节未作明确规定，使得县（市、区）和煤炭企业对项目实施细节把控不严，影响治理项目实施效果。</w:t>
      </w:r>
    </w:p>
    <w:p>
      <w:pPr>
        <w:keepNext w:val="0"/>
        <w:keepLines w:val="0"/>
        <w:pageBreakBefore w:val="0"/>
        <w:widowControl w:val="0"/>
        <w:tabs>
          <w:tab w:val="left" w:pos="3271"/>
          <w:tab w:val="clear" w:pos="4153"/>
          <w:tab w:val="clear" w:pos="8306"/>
        </w:tabs>
        <w:kinsoku/>
        <w:wordWrap/>
        <w:overflowPunct/>
        <w:topLinePunct w:val="0"/>
        <w:autoSpaceDE/>
        <w:autoSpaceDN/>
        <w:bidi w:val="0"/>
        <w:adjustRightInd w:val="0"/>
        <w:snapToGrid w:val="0"/>
        <w:spacing w:line="560" w:lineRule="exact"/>
        <w:ind w:firstLine="640"/>
        <w:textAlignment w:val="auto"/>
        <w:rPr>
          <w:rFonts w:hint="eastAsia" w:ascii="方正黑体简体" w:hAnsi="黑体" w:eastAsia="方正黑体简体" w:cs="宋体"/>
          <w:color w:val="auto"/>
          <w:kern w:val="0"/>
          <w:sz w:val="32"/>
          <w:szCs w:val="32"/>
          <w:lang w:val="en-US" w:eastAsia="zh-CN" w:bidi="ar-SA"/>
          <w14:ligatures w14:val="standardContextual"/>
        </w:rPr>
      </w:pPr>
      <w:r>
        <w:rPr>
          <w:rFonts w:hint="eastAsia" w:ascii="方正黑体简体" w:hAnsi="黑体" w:eastAsia="方正黑体简体" w:cs="宋体"/>
          <w:color w:val="auto"/>
          <w:kern w:val="0"/>
          <w:sz w:val="32"/>
          <w:szCs w:val="32"/>
          <w:lang w:val="en-US" w:eastAsia="zh-CN" w:bidi="ar-SA"/>
          <w14:ligatures w14:val="standardContextual"/>
        </w:rPr>
        <w:t>四、继续执行、中止执行、停止执行或者修改的建议</w:t>
      </w:r>
      <w:bookmarkEnd w:id="20"/>
    </w:p>
    <w:p>
      <w:pPr>
        <w:keepNext w:val="0"/>
        <w:keepLines w:val="0"/>
        <w:pageBreakBefore w:val="0"/>
        <w:widowControl w:val="0"/>
        <w:tabs>
          <w:tab w:val="left" w:pos="3271"/>
          <w:tab w:val="clear" w:pos="4153"/>
          <w:tab w:val="clear" w:pos="8306"/>
        </w:tabs>
        <w:kinsoku/>
        <w:wordWrap/>
        <w:overflowPunct/>
        <w:topLinePunct w:val="0"/>
        <w:autoSpaceDE/>
        <w:autoSpaceDN/>
        <w:bidi w:val="0"/>
        <w:adjustRightInd w:val="0"/>
        <w:snapToGrid w:val="0"/>
        <w:spacing w:line="560" w:lineRule="exact"/>
        <w:ind w:firstLine="640"/>
        <w:textAlignment w:val="auto"/>
        <w:rPr>
          <w:rFonts w:hint="eastAsia" w:eastAsia="方正仿宋简体"/>
          <w:bCs/>
          <w:kern w:val="2"/>
          <w:sz w:val="32"/>
          <w:szCs w:val="32"/>
          <w:lang w:eastAsia="zh-CN" w:bidi="ar"/>
          <w14:ligatures w14:val="none"/>
        </w:rPr>
      </w:pPr>
      <w:r>
        <w:rPr>
          <w:rFonts w:hint="eastAsia" w:ascii="方正仿宋简体" w:hAnsi="方正仿宋简体" w:eastAsia="方正仿宋简体" w:cs="方正仿宋简体"/>
          <w:sz w:val="32"/>
          <w:szCs w:val="32"/>
        </w:rPr>
        <w:t>经过评估，《</w:t>
      </w:r>
      <w:r>
        <w:rPr>
          <w:rFonts w:hint="eastAsia" w:ascii="方正仿宋简体" w:hAnsi="方正仿宋简体" w:eastAsia="方正仿宋简体" w:cs="方正仿宋简体"/>
          <w:sz w:val="32"/>
          <w:szCs w:val="32"/>
          <w:lang w:eastAsia="zh-CN"/>
        </w:rPr>
        <w:t>办法</w:t>
      </w:r>
      <w:r>
        <w:rPr>
          <w:rFonts w:hint="eastAsia" w:ascii="方正仿宋简体" w:hAnsi="方正仿宋简体" w:eastAsia="方正仿宋简体" w:cs="方正仿宋简体"/>
          <w:sz w:val="32"/>
          <w:szCs w:val="32"/>
        </w:rPr>
        <w:t>》</w:t>
      </w:r>
      <w:r>
        <w:rPr>
          <w:rFonts w:hint="eastAsia" w:ascii="Times New Roman" w:hAnsi="Times New Roman" w:eastAsia="方正仿宋简体" w:cs="Times New Roman"/>
          <w:b w:val="0"/>
          <w:bCs w:val="0"/>
          <w:color w:val="000000" w:themeColor="text1"/>
          <w:kern w:val="2"/>
          <w:sz w:val="32"/>
          <w:szCs w:val="32"/>
          <w:lang w:val="en-US" w:eastAsia="zh-CN" w:bidi="ar-SA"/>
          <w14:textFill>
            <w14:solidFill>
              <w14:schemeClr w14:val="tx1"/>
            </w14:solidFill>
          </w14:textFill>
        </w:rPr>
        <w:t>各项规定与法律、法规、规章以及上级有关政策规定</w:t>
      </w:r>
      <w:r>
        <w:rPr>
          <w:rFonts w:hint="eastAsia" w:eastAsia="方正仿宋简体" w:cs="Times New Roman"/>
          <w:b w:val="0"/>
          <w:bCs w:val="0"/>
          <w:color w:val="000000" w:themeColor="text1"/>
          <w:kern w:val="2"/>
          <w:sz w:val="32"/>
          <w:szCs w:val="32"/>
          <w:lang w:val="en-US" w:eastAsia="zh-CN" w:bidi="ar-SA"/>
          <w14:textFill>
            <w14:solidFill>
              <w14:schemeClr w14:val="tx1"/>
            </w14:solidFill>
          </w14:textFill>
        </w:rPr>
        <w:t>基本</w:t>
      </w:r>
      <w:r>
        <w:rPr>
          <w:rFonts w:hint="eastAsia" w:ascii="Times New Roman" w:hAnsi="Times New Roman" w:eastAsia="方正仿宋简体" w:cs="Times New Roman"/>
          <w:b w:val="0"/>
          <w:bCs w:val="0"/>
          <w:color w:val="000000" w:themeColor="text1"/>
          <w:kern w:val="2"/>
          <w:sz w:val="32"/>
          <w:szCs w:val="32"/>
          <w:lang w:val="en-US" w:eastAsia="zh-CN" w:bidi="ar-SA"/>
          <w14:textFill>
            <w14:solidFill>
              <w14:schemeClr w14:val="tx1"/>
            </w14:solidFill>
          </w14:textFill>
        </w:rPr>
        <w:t>一致</w:t>
      </w:r>
      <w:r>
        <w:rPr>
          <w:rFonts w:hint="eastAsia" w:eastAsia="方正仿宋简体" w:cs="Times New Roman"/>
          <w:b w:val="0"/>
          <w:bCs w:val="0"/>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方正仿宋简体" w:cs="Times New Roman"/>
          <w:b w:val="0"/>
          <w:bCs w:val="0"/>
          <w:color w:val="000000" w:themeColor="text1"/>
          <w:kern w:val="2"/>
          <w:sz w:val="32"/>
          <w:szCs w:val="32"/>
          <w:lang w:val="en-US" w:eastAsia="zh-CN" w:bidi="ar-SA"/>
          <w14:textFill>
            <w14:solidFill>
              <w14:schemeClr w14:val="tx1"/>
            </w14:solidFill>
          </w14:textFill>
        </w:rPr>
        <w:t>符合公平、公正原则，具体制定措施必要、适当</w:t>
      </w:r>
      <w:r>
        <w:rPr>
          <w:rFonts w:hint="eastAsia" w:eastAsia="方正仿宋简体" w:cs="Times New Roman"/>
          <w:b w:val="0"/>
          <w:bCs w:val="0"/>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方正仿宋简体" w:cs="Times New Roman"/>
          <w:b w:val="0"/>
          <w:bCs w:val="0"/>
          <w:color w:val="000000" w:themeColor="text1"/>
          <w:kern w:val="2"/>
          <w:sz w:val="32"/>
          <w:szCs w:val="32"/>
          <w:lang w:val="en-US" w:eastAsia="zh-CN" w:bidi="ar-SA"/>
          <w14:textFill>
            <w14:solidFill>
              <w14:schemeClr w14:val="tx1"/>
            </w14:solidFill>
          </w14:textFill>
        </w:rPr>
        <w:t>规定程序易于操作</w:t>
      </w:r>
      <w:r>
        <w:rPr>
          <w:rFonts w:hint="eastAsia" w:eastAsia="方正仿宋简体" w:cs="Times New Roman"/>
          <w:b w:val="0"/>
          <w:bCs w:val="0"/>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方正仿宋简体" w:cs="Times New Roman"/>
          <w:b w:val="0"/>
          <w:bCs w:val="0"/>
          <w:color w:val="000000" w:themeColor="text1"/>
          <w:kern w:val="2"/>
          <w:sz w:val="32"/>
          <w:szCs w:val="32"/>
          <w:lang w:val="en-US" w:eastAsia="zh-CN" w:bidi="ar-SA"/>
          <w14:textFill>
            <w14:solidFill>
              <w14:schemeClr w14:val="tx1"/>
            </w14:solidFill>
          </w14:textFill>
        </w:rPr>
        <w:t>文件执行结果符合决策</w:t>
      </w:r>
      <w:r>
        <w:rPr>
          <w:rFonts w:hint="eastAsia" w:eastAsia="方正仿宋简体" w:cs="Times New Roman"/>
          <w:b w:val="0"/>
          <w:bCs w:val="0"/>
          <w:color w:val="000000" w:themeColor="text1"/>
          <w:kern w:val="2"/>
          <w:sz w:val="32"/>
          <w:szCs w:val="32"/>
          <w:lang w:val="en-US" w:eastAsia="zh-CN" w:bidi="ar-SA"/>
          <w14:textFill>
            <w14:solidFill>
              <w14:schemeClr w14:val="tx1"/>
            </w14:solidFill>
          </w14:textFill>
        </w:rPr>
        <w:t>目的，</w:t>
      </w:r>
      <w:r>
        <w:rPr>
          <w:rFonts w:hint="eastAsia" w:eastAsia="方正仿宋简体"/>
          <w:bCs/>
          <w:kern w:val="2"/>
          <w:sz w:val="32"/>
          <w:szCs w:val="32"/>
          <w:lang w:bidi="ar"/>
          <w14:ligatures w14:val="none"/>
        </w:rPr>
        <w:t>建议《办法》继续执行</w:t>
      </w:r>
      <w:r>
        <w:rPr>
          <w:rFonts w:hint="eastAsia" w:eastAsia="方正仿宋简体"/>
          <w:bCs/>
          <w:kern w:val="2"/>
          <w:sz w:val="32"/>
          <w:szCs w:val="32"/>
          <w:lang w:eastAsia="zh-CN" w:bidi="ar"/>
          <w14:ligatures w14:val="none"/>
        </w:rPr>
        <w:t>，</w:t>
      </w:r>
      <w:r>
        <w:rPr>
          <w:rFonts w:hint="eastAsia" w:eastAsia="方正仿宋简体"/>
          <w:bCs/>
          <w:kern w:val="2"/>
          <w:sz w:val="32"/>
          <w:szCs w:val="32"/>
          <w:lang w:bidi="ar"/>
          <w14:ligatures w14:val="none"/>
        </w:rPr>
        <w:t>同时</w:t>
      </w:r>
      <w:r>
        <w:rPr>
          <w:rFonts w:hint="eastAsia" w:eastAsia="方正仿宋简体"/>
          <w:bCs/>
          <w:kern w:val="2"/>
          <w:sz w:val="32"/>
          <w:szCs w:val="32"/>
          <w:lang w:eastAsia="zh-CN" w:bidi="ar"/>
          <w14:ligatures w14:val="none"/>
        </w:rPr>
        <w:t>进一步严格项目管理，保障项目实施质量</w:t>
      </w:r>
      <w:r>
        <w:rPr>
          <w:rFonts w:hint="eastAsia" w:eastAsia="方正仿宋简体"/>
          <w:bCs/>
          <w:kern w:val="2"/>
          <w:sz w:val="32"/>
          <w:szCs w:val="32"/>
          <w:lang w:bidi="ar"/>
          <w14:ligatures w14:val="none"/>
        </w:rPr>
        <w:t>。</w:t>
      </w:r>
    </w:p>
    <w:p>
      <w:pPr>
        <w:pStyle w:val="8"/>
        <w:keepNext w:val="0"/>
        <w:keepLines w:val="0"/>
        <w:pageBreakBefore w:val="0"/>
        <w:widowControl w:val="0"/>
        <w:kinsoku/>
        <w:wordWrap/>
        <w:overflowPunct/>
        <w:topLinePunct w:val="0"/>
        <w:autoSpaceDE/>
        <w:autoSpaceDN/>
        <w:bidi w:val="0"/>
        <w:snapToGrid w:val="0"/>
        <w:spacing w:after="0"/>
        <w:textAlignment w:val="auto"/>
        <w:rPr>
          <w:rFonts w:hint="eastAsia"/>
        </w:rPr>
      </w:pPr>
      <w:bookmarkStart w:id="21" w:name="_Toc199943708"/>
      <w:r>
        <w:t>五、其他需要说明的问题</w:t>
      </w:r>
      <w:bookmarkEnd w:id="21"/>
    </w:p>
    <w:p>
      <w:pPr>
        <w:keepNext w:val="0"/>
        <w:keepLines w:val="0"/>
        <w:pageBreakBefore w:val="0"/>
        <w:widowControl w:val="0"/>
        <w:tabs>
          <w:tab w:val="left" w:pos="3271"/>
          <w:tab w:val="clear" w:pos="4153"/>
          <w:tab w:val="clear" w:pos="8306"/>
        </w:tabs>
        <w:kinsoku/>
        <w:wordWrap/>
        <w:overflowPunct/>
        <w:topLinePunct w:val="0"/>
        <w:autoSpaceDE/>
        <w:autoSpaceDN/>
        <w:bidi w:val="0"/>
        <w:adjustRightInd w:val="0"/>
        <w:snapToGrid w:val="0"/>
        <w:spacing w:line="560" w:lineRule="exact"/>
        <w:ind w:firstLine="640"/>
        <w:textAlignment w:val="auto"/>
        <w:rPr>
          <w:rFonts w:eastAsia="方正仿宋简体"/>
          <w:bCs/>
          <w:kern w:val="2"/>
          <w:sz w:val="32"/>
          <w:szCs w:val="32"/>
          <w:lang w:bidi="ar"/>
          <w14:ligatures w14:val="none"/>
        </w:rPr>
      </w:pPr>
      <w:r>
        <w:rPr>
          <w:rFonts w:hint="eastAsia" w:eastAsia="方正仿宋简体"/>
          <w:bCs/>
          <w:kern w:val="2"/>
          <w:sz w:val="32"/>
          <w:szCs w:val="32"/>
          <w:lang w:bidi="ar"/>
          <w14:ligatures w14:val="none"/>
        </w:rPr>
        <w:t>无。</w:t>
      </w:r>
    </w:p>
    <w:p>
      <w:pPr>
        <w:keepNext w:val="0"/>
        <w:keepLines w:val="0"/>
        <w:pageBreakBefore w:val="0"/>
        <w:widowControl w:val="0"/>
        <w:tabs>
          <w:tab w:val="left" w:pos="3271"/>
          <w:tab w:val="clear" w:pos="4153"/>
          <w:tab w:val="clear" w:pos="8306"/>
        </w:tabs>
        <w:kinsoku/>
        <w:wordWrap/>
        <w:overflowPunct/>
        <w:topLinePunct w:val="0"/>
        <w:autoSpaceDE/>
        <w:autoSpaceDN/>
        <w:bidi w:val="0"/>
        <w:adjustRightInd w:val="0"/>
        <w:snapToGrid w:val="0"/>
        <w:spacing w:line="560" w:lineRule="exact"/>
        <w:ind w:firstLine="640"/>
        <w:textAlignment w:val="auto"/>
        <w:rPr>
          <w:rFonts w:hint="eastAsia" w:eastAsia="方正仿宋简体"/>
          <w:bCs/>
          <w:kern w:val="2"/>
          <w:sz w:val="32"/>
          <w:szCs w:val="32"/>
          <w:lang w:eastAsia="zh-CN" w:bidi="ar"/>
          <w14:ligatures w14:val="none"/>
        </w:rPr>
      </w:pPr>
      <w:bookmarkStart w:id="22" w:name="_GoBack"/>
      <w:bookmarkEnd w:id="22"/>
    </w:p>
    <w:sectPr>
      <w:headerReference r:id="rId5" w:type="first"/>
      <w:footerReference r:id="rId8" w:type="first"/>
      <w:headerReference r:id="rId3" w:type="default"/>
      <w:footerReference r:id="rId6" w:type="default"/>
      <w:headerReference r:id="rId4" w:type="even"/>
      <w:footerReference r:id="rId7" w:type="even"/>
      <w:pgSz w:w="11906" w:h="16838"/>
      <w:pgMar w:top="2155" w:right="1474" w:bottom="2041" w:left="1588" w:header="851" w:footer="1587" w:gutter="0"/>
      <w:cols w:space="425"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简体">
    <w:panose1 w:val="02010601030101010101"/>
    <w:charset w:val="86"/>
    <w:family w:val="auto"/>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Trebuchet MS">
    <w:panose1 w:val="020B0603020202020204"/>
    <w:charset w:val="00"/>
    <w:family w:val="swiss"/>
    <w:pitch w:val="default"/>
    <w:sig w:usb0="00000287" w:usb1="00000000" w:usb2="00000000" w:usb3="00000000" w:csb0="2000009F" w:csb1="00000000"/>
  </w:font>
  <w:font w:name="ヒラギノ角ゴ Pro W3">
    <w:altName w:val="Times New Roman"/>
    <w:panose1 w:val="00000000000000000000"/>
    <w:charset w:val="00"/>
    <w:family w:val="auto"/>
    <w:pitch w:val="default"/>
    <w:sig w:usb0="00000000" w:usb1="00000000" w:usb2="00000000"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等线 Light">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ind w:left="0" w:leftChars="0" w:firstLine="0" w:firstLineChars="0"/>
      <w:jc w:val="right"/>
      <w:rPr>
        <w:rFonts w:hint="eastAsia" w:eastAsia="宋体"/>
        <w:lang w:val="en-US" w:eastAsia="zh-CN"/>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5</w:t>
    </w:r>
    <w:r>
      <w:rPr>
        <w:rFonts w:ascii="宋体" w:hAnsi="宋体"/>
        <w:sz w:val="28"/>
        <w:szCs w:val="28"/>
      </w:rPr>
      <w:fldChar w:fldCharType="end"/>
    </w:r>
    <w:r>
      <w:rPr>
        <w:rFonts w:hint="eastAsia" w:ascii="宋体" w:hAnsi="宋体"/>
        <w:sz w:val="28"/>
        <w:szCs w:val="28"/>
      </w:rPr>
      <w:t xml:space="preserve"> —</w:t>
    </w:r>
    <w:r>
      <w:rPr>
        <w:rFonts w:hint="eastAsia" w:ascii="宋体" w:hAnsi="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left="0" w:leftChars="0" w:firstLine="0" w:firstLineChars="0"/>
    </w:pPr>
    <w:r>
      <w:rPr>
        <w:rFonts w:hint="eastAsia" w:ascii="宋体" w:hAnsi="宋体"/>
        <w:sz w:val="28"/>
        <w:szCs w:val="28"/>
      </w:rPr>
      <w:t xml:space="preserve">　—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6</w:t>
    </w:r>
    <w:r>
      <w:rPr>
        <w:rFonts w:ascii="宋体" w:hAnsi="宋体"/>
        <w:sz w:val="28"/>
        <w:szCs w:val="28"/>
      </w:rPr>
      <w:fldChar w:fldCharType="end"/>
    </w:r>
    <w:r>
      <w:rPr>
        <w:rFonts w:hint="eastAsia" w:ascii="宋体" w:hAnsi="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evenAndOddHeaders w:val="1"/>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49D"/>
    <w:rsid w:val="00016C5A"/>
    <w:rsid w:val="00052415"/>
    <w:rsid w:val="00053B57"/>
    <w:rsid w:val="00092964"/>
    <w:rsid w:val="00097E7F"/>
    <w:rsid w:val="000B02C8"/>
    <w:rsid w:val="000E2135"/>
    <w:rsid w:val="001014E9"/>
    <w:rsid w:val="00103602"/>
    <w:rsid w:val="00104D8D"/>
    <w:rsid w:val="00133538"/>
    <w:rsid w:val="00150B59"/>
    <w:rsid w:val="0016725A"/>
    <w:rsid w:val="001814F1"/>
    <w:rsid w:val="001839AB"/>
    <w:rsid w:val="001A0489"/>
    <w:rsid w:val="00205B16"/>
    <w:rsid w:val="00237B99"/>
    <w:rsid w:val="00271797"/>
    <w:rsid w:val="002772F1"/>
    <w:rsid w:val="00292AA7"/>
    <w:rsid w:val="002F330E"/>
    <w:rsid w:val="002F4A1B"/>
    <w:rsid w:val="003221CE"/>
    <w:rsid w:val="00342221"/>
    <w:rsid w:val="00344E3D"/>
    <w:rsid w:val="00387EAD"/>
    <w:rsid w:val="00392EF7"/>
    <w:rsid w:val="003968AE"/>
    <w:rsid w:val="003A08F1"/>
    <w:rsid w:val="003B2629"/>
    <w:rsid w:val="003C637C"/>
    <w:rsid w:val="003C7328"/>
    <w:rsid w:val="003F6227"/>
    <w:rsid w:val="00403A75"/>
    <w:rsid w:val="004048C4"/>
    <w:rsid w:val="004204C7"/>
    <w:rsid w:val="00426145"/>
    <w:rsid w:val="0046568B"/>
    <w:rsid w:val="0049549D"/>
    <w:rsid w:val="00496B40"/>
    <w:rsid w:val="004C3D97"/>
    <w:rsid w:val="004C7E58"/>
    <w:rsid w:val="004D0B2A"/>
    <w:rsid w:val="004D38BA"/>
    <w:rsid w:val="004D7E02"/>
    <w:rsid w:val="004F6349"/>
    <w:rsid w:val="00505643"/>
    <w:rsid w:val="00551703"/>
    <w:rsid w:val="005647AA"/>
    <w:rsid w:val="005B3161"/>
    <w:rsid w:val="005B49ED"/>
    <w:rsid w:val="005F6162"/>
    <w:rsid w:val="00610910"/>
    <w:rsid w:val="0061578A"/>
    <w:rsid w:val="006221D3"/>
    <w:rsid w:val="00656F63"/>
    <w:rsid w:val="00666311"/>
    <w:rsid w:val="00674A8D"/>
    <w:rsid w:val="006936C8"/>
    <w:rsid w:val="006A6537"/>
    <w:rsid w:val="006B1417"/>
    <w:rsid w:val="006C0DEC"/>
    <w:rsid w:val="006C7F1A"/>
    <w:rsid w:val="0070230F"/>
    <w:rsid w:val="007320F1"/>
    <w:rsid w:val="00745B5E"/>
    <w:rsid w:val="007707CC"/>
    <w:rsid w:val="007765D1"/>
    <w:rsid w:val="00792EFB"/>
    <w:rsid w:val="0079629E"/>
    <w:rsid w:val="0079720E"/>
    <w:rsid w:val="007A67EB"/>
    <w:rsid w:val="007B23BB"/>
    <w:rsid w:val="007B25A0"/>
    <w:rsid w:val="007B720B"/>
    <w:rsid w:val="007F438E"/>
    <w:rsid w:val="008773A5"/>
    <w:rsid w:val="008A6D8A"/>
    <w:rsid w:val="008C54B8"/>
    <w:rsid w:val="008E1A7F"/>
    <w:rsid w:val="00903B53"/>
    <w:rsid w:val="0092524D"/>
    <w:rsid w:val="0093039B"/>
    <w:rsid w:val="00936843"/>
    <w:rsid w:val="00942F0A"/>
    <w:rsid w:val="0096129C"/>
    <w:rsid w:val="00970BD8"/>
    <w:rsid w:val="00981413"/>
    <w:rsid w:val="00982753"/>
    <w:rsid w:val="009844E1"/>
    <w:rsid w:val="009A10DD"/>
    <w:rsid w:val="009B482B"/>
    <w:rsid w:val="009D655B"/>
    <w:rsid w:val="00A12705"/>
    <w:rsid w:val="00A410A0"/>
    <w:rsid w:val="00A42245"/>
    <w:rsid w:val="00A81145"/>
    <w:rsid w:val="00A92160"/>
    <w:rsid w:val="00AA3A31"/>
    <w:rsid w:val="00AA55BB"/>
    <w:rsid w:val="00AA7C99"/>
    <w:rsid w:val="00AF5A48"/>
    <w:rsid w:val="00B00ED5"/>
    <w:rsid w:val="00B0110C"/>
    <w:rsid w:val="00B44E5E"/>
    <w:rsid w:val="00BE1504"/>
    <w:rsid w:val="00C05A5C"/>
    <w:rsid w:val="00C162F4"/>
    <w:rsid w:val="00C67B6A"/>
    <w:rsid w:val="00C80BF4"/>
    <w:rsid w:val="00C96A69"/>
    <w:rsid w:val="00CA3B7D"/>
    <w:rsid w:val="00CC1A74"/>
    <w:rsid w:val="00CC6F62"/>
    <w:rsid w:val="00D22C8D"/>
    <w:rsid w:val="00D47082"/>
    <w:rsid w:val="00D506BB"/>
    <w:rsid w:val="00D66893"/>
    <w:rsid w:val="00D74933"/>
    <w:rsid w:val="00DA12D2"/>
    <w:rsid w:val="00DC5FE9"/>
    <w:rsid w:val="00E068F8"/>
    <w:rsid w:val="00E23675"/>
    <w:rsid w:val="00E90367"/>
    <w:rsid w:val="00EB1F38"/>
    <w:rsid w:val="00EF4B05"/>
    <w:rsid w:val="00F26B2B"/>
    <w:rsid w:val="00F72D03"/>
    <w:rsid w:val="00F90405"/>
    <w:rsid w:val="00FD7F34"/>
    <w:rsid w:val="054810F7"/>
    <w:rsid w:val="07162EA3"/>
    <w:rsid w:val="0C4E22F7"/>
    <w:rsid w:val="2E907CE6"/>
    <w:rsid w:val="308917F6"/>
    <w:rsid w:val="32916B28"/>
    <w:rsid w:val="35180E62"/>
    <w:rsid w:val="3EC66A72"/>
    <w:rsid w:val="3F123B0B"/>
    <w:rsid w:val="40A10F21"/>
    <w:rsid w:val="467D523A"/>
    <w:rsid w:val="58187987"/>
    <w:rsid w:val="58F54C5F"/>
    <w:rsid w:val="5A941C8E"/>
    <w:rsid w:val="69780472"/>
    <w:rsid w:val="70E27AA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abs>
        <w:tab w:val="center" w:pos="4153"/>
        <w:tab w:val="right" w:pos="8306"/>
      </w:tabs>
      <w:snapToGrid w:val="0"/>
      <w:spacing w:line="360" w:lineRule="auto"/>
      <w:ind w:firstLine="560" w:firstLineChars="200"/>
      <w:jc w:val="both"/>
    </w:pPr>
    <w:rPr>
      <w:rFonts w:ascii="Times New Roman" w:hAnsi="Times New Roman" w:eastAsia="宋体" w:cs="Times New Roman"/>
      <w:kern w:val="0"/>
      <w:sz w:val="28"/>
      <w:szCs w:val="28"/>
      <w:lang w:val="en-US" w:eastAsia="zh-CN" w:bidi="ar-SA"/>
      <w14:ligatures w14:val="standardContextual"/>
    </w:rPr>
  </w:style>
  <w:style w:type="paragraph" w:styleId="7">
    <w:name w:val="heading 1"/>
    <w:basedOn w:val="1"/>
    <w:next w:val="1"/>
    <w:link w:val="32"/>
    <w:qFormat/>
    <w:uiPriority w:val="9"/>
    <w:pPr>
      <w:ind w:firstLine="0" w:firstLineChars="0"/>
      <w:jc w:val="center"/>
      <w:outlineLvl w:val="0"/>
    </w:pPr>
    <w:rPr>
      <w:b/>
      <w:bCs/>
      <w:sz w:val="52"/>
      <w:szCs w:val="52"/>
    </w:rPr>
  </w:style>
  <w:style w:type="paragraph" w:styleId="8">
    <w:name w:val="heading 2"/>
    <w:basedOn w:val="9"/>
    <w:next w:val="1"/>
    <w:link w:val="33"/>
    <w:unhideWhenUsed/>
    <w:qFormat/>
    <w:uiPriority w:val="9"/>
    <w:pPr>
      <w:tabs>
        <w:tab w:val="center" w:pos="4153"/>
        <w:tab w:val="right" w:pos="8306"/>
      </w:tabs>
      <w:spacing w:after="160" w:line="560" w:lineRule="exact"/>
      <w:ind w:firstLine="640"/>
      <w:jc w:val="both"/>
      <w:outlineLvl w:val="1"/>
    </w:pPr>
    <w:rPr>
      <w:rFonts w:ascii="方正黑体简体" w:hAnsi="黑体" w:eastAsia="方正黑体简体" w:cs="宋体"/>
      <w:color w:val="auto"/>
      <w:sz w:val="32"/>
      <w:szCs w:val="32"/>
    </w:rPr>
  </w:style>
  <w:style w:type="paragraph" w:styleId="10">
    <w:name w:val="heading 3"/>
    <w:basedOn w:val="9"/>
    <w:next w:val="1"/>
    <w:link w:val="34"/>
    <w:unhideWhenUsed/>
    <w:qFormat/>
    <w:uiPriority w:val="9"/>
    <w:pPr>
      <w:tabs>
        <w:tab w:val="center" w:pos="4153"/>
        <w:tab w:val="right" w:pos="8306"/>
      </w:tabs>
      <w:spacing w:line="360" w:lineRule="auto"/>
      <w:ind w:firstLine="562"/>
      <w:jc w:val="both"/>
      <w:outlineLvl w:val="2"/>
    </w:pPr>
    <w:rPr>
      <w:rFonts w:ascii="宋体" w:hAnsi="宋体" w:eastAsia="宋体" w:cs="宋体"/>
      <w:b/>
      <w:bCs/>
      <w:color w:val="auto"/>
      <w:sz w:val="28"/>
    </w:rPr>
  </w:style>
  <w:style w:type="paragraph" w:styleId="11">
    <w:name w:val="heading 4"/>
    <w:basedOn w:val="1"/>
    <w:next w:val="1"/>
    <w:link w:val="35"/>
    <w:unhideWhenUsed/>
    <w:qFormat/>
    <w:uiPriority w:val="9"/>
    <w:pPr>
      <w:ind w:firstLine="562"/>
      <w:outlineLvl w:val="3"/>
    </w:pPr>
    <w:rPr>
      <w:b/>
      <w:bCs/>
    </w:rPr>
  </w:style>
  <w:style w:type="paragraph" w:styleId="12">
    <w:name w:val="heading 5"/>
    <w:basedOn w:val="1"/>
    <w:next w:val="1"/>
    <w:link w:val="36"/>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13">
    <w:name w:val="heading 6"/>
    <w:basedOn w:val="1"/>
    <w:next w:val="1"/>
    <w:link w:val="37"/>
    <w:semiHidden/>
    <w:unhideWhenUsed/>
    <w:qFormat/>
    <w:uiPriority w:val="9"/>
    <w:pPr>
      <w:keepNext/>
      <w:keepLines/>
      <w:spacing w:before="40"/>
      <w:outlineLvl w:val="5"/>
    </w:pPr>
    <w:rPr>
      <w:rFonts w:cstheme="majorBidi"/>
      <w:b/>
      <w:bCs/>
      <w:color w:val="104862" w:themeColor="accent1" w:themeShade="BF"/>
    </w:rPr>
  </w:style>
  <w:style w:type="paragraph" w:styleId="14">
    <w:name w:val="heading 7"/>
    <w:basedOn w:val="1"/>
    <w:next w:val="1"/>
    <w:link w:val="38"/>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5">
    <w:name w:val="heading 8"/>
    <w:basedOn w:val="1"/>
    <w:next w:val="1"/>
    <w:link w:val="39"/>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6">
    <w:name w:val="heading 9"/>
    <w:basedOn w:val="1"/>
    <w:next w:val="1"/>
    <w:link w:val="40"/>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7">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qFormat/>
    <w:uiPriority w:val="0"/>
    <w:pPr>
      <w:tabs>
        <w:tab w:val="center" w:pos="4153"/>
        <w:tab w:val="right" w:pos="8306"/>
      </w:tabs>
      <w:spacing w:after="0"/>
      <w:ind w:firstLine="420" w:firstLineChars="200"/>
    </w:pPr>
  </w:style>
  <w:style w:type="paragraph" w:styleId="3">
    <w:name w:val="Body Text Indent"/>
    <w:basedOn w:val="1"/>
    <w:next w:val="4"/>
    <w:unhideWhenUsed/>
    <w:qFormat/>
    <w:uiPriority w:val="99"/>
    <w:pPr>
      <w:spacing w:after="120"/>
      <w:ind w:left="420" w:leftChars="200"/>
    </w:pPr>
  </w:style>
  <w:style w:type="paragraph" w:styleId="4">
    <w:name w:val="Normal Indent"/>
    <w:basedOn w:val="1"/>
    <w:next w:val="1"/>
    <w:qFormat/>
    <w:uiPriority w:val="0"/>
    <w:pPr>
      <w:ind w:firstLine="420" w:firstLineChars="200"/>
    </w:pPr>
  </w:style>
  <w:style w:type="paragraph" w:styleId="5">
    <w:name w:val="Body Text First Indent"/>
    <w:basedOn w:val="6"/>
    <w:qFormat/>
    <w:uiPriority w:val="99"/>
    <w:pPr>
      <w:tabs>
        <w:tab w:val="center" w:pos="4153"/>
        <w:tab w:val="right" w:pos="8306"/>
      </w:tabs>
      <w:ind w:firstLine="420" w:firstLineChars="100"/>
    </w:pPr>
  </w:style>
  <w:style w:type="paragraph" w:styleId="6">
    <w:name w:val="Body Text"/>
    <w:basedOn w:val="1"/>
    <w:next w:val="1"/>
    <w:link w:val="53"/>
    <w:qFormat/>
    <w:uiPriority w:val="99"/>
    <w:pPr>
      <w:ind w:firstLine="200"/>
    </w:pPr>
    <w:rPr>
      <w:sz w:val="24"/>
      <w:szCs w:val="21"/>
    </w:rPr>
  </w:style>
  <w:style w:type="paragraph" w:customStyle="1" w:styleId="9">
    <w:name w:val="页眉1"/>
    <w:basedOn w:val="1"/>
    <w:qFormat/>
    <w:uiPriority w:val="0"/>
    <w:pPr>
      <w:spacing w:line="400" w:lineRule="exact"/>
      <w:jc w:val="center"/>
    </w:pPr>
    <w:rPr>
      <w:rFonts w:ascii="Trebuchet MS" w:hAnsi="Trebuchet MS" w:eastAsia="ヒラギノ角ゴ Pro W3"/>
      <w:color w:val="000000"/>
      <w:sz w:val="18"/>
    </w:rPr>
  </w:style>
  <w:style w:type="paragraph" w:styleId="17">
    <w:name w:val="toc 3"/>
    <w:basedOn w:val="1"/>
    <w:next w:val="1"/>
    <w:unhideWhenUsed/>
    <w:qFormat/>
    <w:uiPriority w:val="39"/>
    <w:pPr>
      <w:widowControl/>
      <w:tabs>
        <w:tab w:val="clear" w:pos="4153"/>
        <w:tab w:val="clear" w:pos="8306"/>
      </w:tabs>
      <w:snapToGrid/>
      <w:spacing w:after="100" w:line="259" w:lineRule="auto"/>
      <w:ind w:left="440" w:firstLine="0" w:firstLineChars="0"/>
      <w:jc w:val="left"/>
    </w:pPr>
    <w:rPr>
      <w:rFonts w:asciiTheme="minorHAnsi" w:hAnsiTheme="minorHAnsi" w:eastAsiaTheme="minorEastAsia"/>
      <w:sz w:val="22"/>
      <w:szCs w:val="22"/>
    </w:rPr>
  </w:style>
  <w:style w:type="paragraph" w:styleId="18">
    <w:name w:val="Date"/>
    <w:basedOn w:val="1"/>
    <w:next w:val="1"/>
    <w:link w:val="52"/>
    <w:semiHidden/>
    <w:unhideWhenUsed/>
    <w:qFormat/>
    <w:uiPriority w:val="99"/>
    <w:pPr>
      <w:ind w:left="100" w:leftChars="2500"/>
    </w:pPr>
  </w:style>
  <w:style w:type="paragraph" w:styleId="19">
    <w:name w:val="footer"/>
    <w:basedOn w:val="1"/>
    <w:link w:val="51"/>
    <w:unhideWhenUsed/>
    <w:qFormat/>
    <w:uiPriority w:val="99"/>
    <w:pPr>
      <w:jc w:val="left"/>
    </w:pPr>
    <w:rPr>
      <w:sz w:val="18"/>
      <w:szCs w:val="18"/>
    </w:rPr>
  </w:style>
  <w:style w:type="paragraph" w:styleId="20">
    <w:name w:val="header"/>
    <w:basedOn w:val="1"/>
    <w:link w:val="50"/>
    <w:unhideWhenUsed/>
    <w:qFormat/>
    <w:uiPriority w:val="99"/>
    <w:pPr>
      <w:jc w:val="center"/>
    </w:pPr>
    <w:rPr>
      <w:sz w:val="18"/>
      <w:szCs w:val="18"/>
    </w:rPr>
  </w:style>
  <w:style w:type="paragraph" w:styleId="21">
    <w:name w:val="toc 1"/>
    <w:basedOn w:val="1"/>
    <w:next w:val="1"/>
    <w:unhideWhenUsed/>
    <w:qFormat/>
    <w:uiPriority w:val="39"/>
    <w:pPr>
      <w:widowControl/>
      <w:tabs>
        <w:tab w:val="clear" w:pos="4153"/>
        <w:tab w:val="clear" w:pos="8306"/>
      </w:tabs>
      <w:snapToGrid/>
      <w:spacing w:after="100" w:line="259" w:lineRule="auto"/>
      <w:ind w:firstLine="0" w:firstLineChars="0"/>
      <w:jc w:val="left"/>
    </w:pPr>
    <w:rPr>
      <w:rFonts w:asciiTheme="minorHAnsi" w:hAnsiTheme="minorHAnsi" w:eastAsiaTheme="minorEastAsia"/>
      <w:sz w:val="22"/>
      <w:szCs w:val="22"/>
    </w:rPr>
  </w:style>
  <w:style w:type="paragraph" w:styleId="22">
    <w:name w:val="Subtitle"/>
    <w:basedOn w:val="1"/>
    <w:next w:val="1"/>
    <w:link w:val="42"/>
    <w:qFormat/>
    <w:uiPriority w:val="11"/>
    <w:pPr>
      <w:spacing w:after="160"/>
      <w:ind w:firstLine="560" w:firstLineChars="200"/>
      <w:jc w:val="center"/>
    </w:pPr>
    <w:rPr>
      <w:rFonts w:asciiTheme="majorHAnsi" w:hAnsiTheme="majorHAnsi" w:eastAsiaTheme="majorEastAsia" w:cstheme="majorBidi"/>
      <w:color w:val="595959" w:themeColor="text1" w:themeTint="A6"/>
      <w:spacing w:val="15"/>
      <w14:textFill>
        <w14:solidFill>
          <w14:schemeClr w14:val="tx1">
            <w14:lumMod w14:val="65000"/>
            <w14:lumOff w14:val="35000"/>
          </w14:schemeClr>
        </w14:solidFill>
      </w14:textFill>
    </w:rPr>
  </w:style>
  <w:style w:type="paragraph" w:styleId="23">
    <w:name w:val="toc 2"/>
    <w:basedOn w:val="1"/>
    <w:next w:val="1"/>
    <w:unhideWhenUsed/>
    <w:qFormat/>
    <w:uiPriority w:val="39"/>
    <w:pPr>
      <w:widowControl/>
      <w:tabs>
        <w:tab w:val="clear" w:pos="4153"/>
        <w:tab w:val="clear" w:pos="8306"/>
      </w:tabs>
      <w:snapToGrid/>
      <w:spacing w:after="100" w:line="259" w:lineRule="auto"/>
      <w:ind w:left="220" w:firstLine="0" w:firstLineChars="0"/>
      <w:jc w:val="left"/>
    </w:pPr>
    <w:rPr>
      <w:rFonts w:asciiTheme="minorHAnsi" w:hAnsiTheme="minorHAnsi" w:eastAsiaTheme="minorEastAsia"/>
      <w:sz w:val="22"/>
      <w:szCs w:val="22"/>
    </w:rPr>
  </w:style>
  <w:style w:type="paragraph" w:styleId="24">
    <w:name w:val="Normal (Web)"/>
    <w:basedOn w:val="1"/>
    <w:semiHidden/>
    <w:unhideWhenUsed/>
    <w:qFormat/>
    <w:uiPriority w:val="99"/>
    <w:pPr>
      <w:widowControl/>
      <w:tabs>
        <w:tab w:val="clear" w:pos="4153"/>
        <w:tab w:val="clear" w:pos="8306"/>
      </w:tabs>
      <w:snapToGrid/>
      <w:spacing w:before="100" w:beforeAutospacing="1" w:after="100" w:afterAutospacing="1" w:line="240" w:lineRule="auto"/>
      <w:ind w:firstLine="0" w:firstLineChars="0"/>
      <w:jc w:val="left"/>
    </w:pPr>
    <w:rPr>
      <w:rFonts w:ascii="宋体" w:hAnsi="宋体" w:cs="宋体"/>
      <w:sz w:val="24"/>
      <w:szCs w:val="24"/>
    </w:rPr>
  </w:style>
  <w:style w:type="paragraph" w:styleId="25">
    <w:name w:val="Title"/>
    <w:basedOn w:val="1"/>
    <w:next w:val="1"/>
    <w:link w:val="41"/>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28">
    <w:name w:val="Strong"/>
    <w:basedOn w:val="27"/>
    <w:qFormat/>
    <w:uiPriority w:val="22"/>
    <w:rPr>
      <w:b/>
      <w:bCs/>
    </w:rPr>
  </w:style>
  <w:style w:type="character" w:styleId="29">
    <w:name w:val="Hyperlink"/>
    <w:basedOn w:val="27"/>
    <w:unhideWhenUsed/>
    <w:qFormat/>
    <w:uiPriority w:val="99"/>
    <w:rPr>
      <w:color w:val="467886" w:themeColor="hyperlink"/>
      <w:u w:val="single"/>
      <w14:textFill>
        <w14:solidFill>
          <w14:schemeClr w14:val="hlink"/>
        </w14:solidFill>
      </w14:textFill>
    </w:rPr>
  </w:style>
  <w:style w:type="paragraph" w:customStyle="1" w:styleId="30">
    <w:name w:val="表格"/>
    <w:basedOn w:val="1"/>
    <w:next w:val="1"/>
    <w:link w:val="31"/>
    <w:qFormat/>
    <w:uiPriority w:val="0"/>
    <w:pPr>
      <w:widowControl/>
      <w:adjustRightInd w:val="0"/>
      <w:jc w:val="center"/>
    </w:pPr>
    <w:rPr>
      <w:rFonts w:cs="宋体"/>
      <w:color w:val="000000"/>
      <w:sz w:val="24"/>
      <w:szCs w:val="21"/>
    </w:rPr>
  </w:style>
  <w:style w:type="character" w:customStyle="1" w:styleId="31">
    <w:name w:val="表格 Char"/>
    <w:basedOn w:val="27"/>
    <w:link w:val="30"/>
    <w:qFormat/>
    <w:uiPriority w:val="0"/>
    <w:rPr>
      <w:rFonts w:ascii="Times New Roman" w:hAnsi="Times New Roman" w:eastAsia="宋体" w:cs="宋体"/>
      <w:color w:val="000000"/>
      <w:sz w:val="24"/>
      <w:szCs w:val="21"/>
    </w:rPr>
  </w:style>
  <w:style w:type="character" w:customStyle="1" w:styleId="32">
    <w:name w:val="标题 1 字符"/>
    <w:basedOn w:val="27"/>
    <w:link w:val="7"/>
    <w:qFormat/>
    <w:uiPriority w:val="9"/>
    <w:rPr>
      <w:rFonts w:ascii="Times New Roman" w:hAnsi="Times New Roman" w:eastAsia="宋体" w:cs="Times New Roman"/>
      <w:b/>
      <w:bCs/>
      <w:kern w:val="0"/>
      <w:sz w:val="52"/>
      <w:szCs w:val="52"/>
    </w:rPr>
  </w:style>
  <w:style w:type="character" w:customStyle="1" w:styleId="33">
    <w:name w:val="标题 2 字符"/>
    <w:basedOn w:val="27"/>
    <w:link w:val="8"/>
    <w:qFormat/>
    <w:uiPriority w:val="9"/>
    <w:rPr>
      <w:rFonts w:ascii="方正黑体简体" w:hAnsi="黑体" w:eastAsia="方正黑体简体" w:cs="宋体"/>
      <w:kern w:val="0"/>
      <w:sz w:val="32"/>
      <w:szCs w:val="32"/>
    </w:rPr>
  </w:style>
  <w:style w:type="character" w:customStyle="1" w:styleId="34">
    <w:name w:val="标题 3 字符"/>
    <w:basedOn w:val="27"/>
    <w:link w:val="10"/>
    <w:qFormat/>
    <w:uiPriority w:val="9"/>
    <w:rPr>
      <w:rFonts w:ascii="宋体" w:hAnsi="宋体" w:eastAsia="宋体" w:cs="宋体"/>
      <w:b/>
      <w:bCs/>
      <w:kern w:val="0"/>
      <w:sz w:val="28"/>
      <w:szCs w:val="28"/>
    </w:rPr>
  </w:style>
  <w:style w:type="character" w:customStyle="1" w:styleId="35">
    <w:name w:val="标题 4 字符"/>
    <w:basedOn w:val="27"/>
    <w:link w:val="11"/>
    <w:qFormat/>
    <w:uiPriority w:val="9"/>
    <w:rPr>
      <w:rFonts w:ascii="Times New Roman" w:hAnsi="Times New Roman" w:eastAsia="宋体" w:cs="Times New Roman"/>
      <w:b/>
      <w:bCs/>
      <w:kern w:val="0"/>
      <w:sz w:val="28"/>
      <w:szCs w:val="28"/>
    </w:rPr>
  </w:style>
  <w:style w:type="character" w:customStyle="1" w:styleId="36">
    <w:name w:val="标题 5 字符"/>
    <w:basedOn w:val="27"/>
    <w:link w:val="12"/>
    <w:semiHidden/>
    <w:qFormat/>
    <w:uiPriority w:val="9"/>
    <w:rPr>
      <w:rFonts w:cstheme="majorBidi"/>
      <w:color w:val="104862" w:themeColor="accent1" w:themeShade="BF"/>
      <w:sz w:val="24"/>
      <w:szCs w:val="24"/>
    </w:rPr>
  </w:style>
  <w:style w:type="character" w:customStyle="1" w:styleId="37">
    <w:name w:val="标题 6 字符"/>
    <w:basedOn w:val="27"/>
    <w:link w:val="13"/>
    <w:semiHidden/>
    <w:qFormat/>
    <w:uiPriority w:val="9"/>
    <w:rPr>
      <w:rFonts w:cstheme="majorBidi"/>
      <w:b/>
      <w:bCs/>
      <w:color w:val="104862" w:themeColor="accent1" w:themeShade="BF"/>
    </w:rPr>
  </w:style>
  <w:style w:type="character" w:customStyle="1" w:styleId="38">
    <w:name w:val="标题 7 字符"/>
    <w:basedOn w:val="27"/>
    <w:link w:val="14"/>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9">
    <w:name w:val="标题 8 字符"/>
    <w:basedOn w:val="27"/>
    <w:link w:val="15"/>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40">
    <w:name w:val="标题 9 字符"/>
    <w:basedOn w:val="27"/>
    <w:link w:val="16"/>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41">
    <w:name w:val="标题 字符"/>
    <w:basedOn w:val="27"/>
    <w:link w:val="25"/>
    <w:qFormat/>
    <w:uiPriority w:val="10"/>
    <w:rPr>
      <w:rFonts w:asciiTheme="majorHAnsi" w:hAnsiTheme="majorHAnsi" w:eastAsiaTheme="majorEastAsia" w:cstheme="majorBidi"/>
      <w:spacing w:val="-10"/>
      <w:kern w:val="28"/>
      <w:sz w:val="56"/>
      <w:szCs w:val="56"/>
    </w:rPr>
  </w:style>
  <w:style w:type="character" w:customStyle="1" w:styleId="42">
    <w:name w:val="副标题 字符"/>
    <w:basedOn w:val="27"/>
    <w:link w:val="22"/>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3">
    <w:name w:val="Quote"/>
    <w:basedOn w:val="1"/>
    <w:next w:val="1"/>
    <w:link w:val="44"/>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44">
    <w:name w:val="引用 字符"/>
    <w:basedOn w:val="27"/>
    <w:link w:val="43"/>
    <w:qFormat/>
    <w:uiPriority w:val="29"/>
    <w:rPr>
      <w:i/>
      <w:iCs/>
      <w:color w:val="404040" w:themeColor="text1" w:themeTint="BF"/>
      <w14:textFill>
        <w14:solidFill>
          <w14:schemeClr w14:val="tx1">
            <w14:lumMod w14:val="75000"/>
            <w14:lumOff w14:val="25000"/>
          </w14:schemeClr>
        </w14:solidFill>
      </w14:textFill>
    </w:rPr>
  </w:style>
  <w:style w:type="paragraph" w:styleId="45">
    <w:name w:val="List Paragraph"/>
    <w:basedOn w:val="1"/>
    <w:qFormat/>
    <w:uiPriority w:val="34"/>
    <w:pPr>
      <w:ind w:left="720"/>
      <w:contextualSpacing/>
    </w:pPr>
  </w:style>
  <w:style w:type="character" w:customStyle="1" w:styleId="46">
    <w:name w:val="Intense Emphasis"/>
    <w:basedOn w:val="27"/>
    <w:qFormat/>
    <w:uiPriority w:val="21"/>
    <w:rPr>
      <w:i/>
      <w:iCs/>
      <w:color w:val="104862" w:themeColor="accent1" w:themeShade="BF"/>
    </w:rPr>
  </w:style>
  <w:style w:type="paragraph" w:styleId="47">
    <w:name w:val="Intense Quote"/>
    <w:basedOn w:val="1"/>
    <w:next w:val="1"/>
    <w:link w:val="48"/>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8">
    <w:name w:val="明显引用 字符"/>
    <w:basedOn w:val="27"/>
    <w:link w:val="47"/>
    <w:qFormat/>
    <w:uiPriority w:val="30"/>
    <w:rPr>
      <w:i/>
      <w:iCs/>
      <w:color w:val="104862" w:themeColor="accent1" w:themeShade="BF"/>
    </w:rPr>
  </w:style>
  <w:style w:type="character" w:customStyle="1" w:styleId="49">
    <w:name w:val="Intense Reference"/>
    <w:basedOn w:val="27"/>
    <w:qFormat/>
    <w:uiPriority w:val="32"/>
    <w:rPr>
      <w:b/>
      <w:bCs/>
      <w:smallCaps/>
      <w:color w:val="104862" w:themeColor="accent1" w:themeShade="BF"/>
      <w:spacing w:val="5"/>
    </w:rPr>
  </w:style>
  <w:style w:type="character" w:customStyle="1" w:styleId="50">
    <w:name w:val="页眉 字符"/>
    <w:basedOn w:val="27"/>
    <w:link w:val="20"/>
    <w:qFormat/>
    <w:uiPriority w:val="99"/>
    <w:rPr>
      <w:sz w:val="18"/>
      <w:szCs w:val="18"/>
    </w:rPr>
  </w:style>
  <w:style w:type="character" w:customStyle="1" w:styleId="51">
    <w:name w:val="页脚 字符"/>
    <w:basedOn w:val="27"/>
    <w:link w:val="19"/>
    <w:qFormat/>
    <w:uiPriority w:val="99"/>
    <w:rPr>
      <w:sz w:val="18"/>
      <w:szCs w:val="18"/>
    </w:rPr>
  </w:style>
  <w:style w:type="character" w:customStyle="1" w:styleId="52">
    <w:name w:val="日期 字符"/>
    <w:basedOn w:val="27"/>
    <w:link w:val="18"/>
    <w:semiHidden/>
    <w:qFormat/>
    <w:uiPriority w:val="99"/>
  </w:style>
  <w:style w:type="character" w:customStyle="1" w:styleId="53">
    <w:name w:val="正文文本 字符"/>
    <w:basedOn w:val="27"/>
    <w:link w:val="6"/>
    <w:qFormat/>
    <w:uiPriority w:val="99"/>
    <w:rPr>
      <w:rFonts w:ascii="Times New Roman" w:hAnsi="Times New Roman" w:eastAsia="宋体" w:cs="Times New Roman"/>
      <w:sz w:val="24"/>
      <w:szCs w:val="21"/>
    </w:rPr>
  </w:style>
  <w:style w:type="paragraph" w:customStyle="1" w:styleId="54">
    <w:name w:val="TOC Heading"/>
    <w:basedOn w:val="7"/>
    <w:next w:val="1"/>
    <w:unhideWhenUsed/>
    <w:qFormat/>
    <w:uiPriority w:val="39"/>
    <w:pPr>
      <w:keepNext/>
      <w:keepLines/>
      <w:widowControl/>
      <w:tabs>
        <w:tab w:val="clear" w:pos="4153"/>
        <w:tab w:val="clear" w:pos="8306"/>
      </w:tabs>
      <w:snapToGrid/>
      <w:spacing w:before="240" w:line="259" w:lineRule="auto"/>
      <w:jc w:val="left"/>
      <w:outlineLvl w:val="9"/>
    </w:pPr>
    <w:rPr>
      <w:rFonts w:asciiTheme="majorHAnsi" w:hAnsiTheme="majorHAnsi" w:eastAsiaTheme="majorEastAsia" w:cstheme="majorBidi"/>
      <w:b w:val="0"/>
      <w:bCs w:val="0"/>
      <w:color w:val="104862" w:themeColor="accent1" w:themeShade="BF"/>
      <w:sz w:val="32"/>
      <w:szCs w:val="32"/>
    </w:rPr>
  </w:style>
  <w:style w:type="paragraph" w:customStyle="1" w:styleId="55">
    <w:name w:val="Revision"/>
    <w:hidden/>
    <w:semiHidden/>
    <w:qFormat/>
    <w:uiPriority w:val="99"/>
    <w:rPr>
      <w:rFonts w:ascii="Times New Roman" w:hAnsi="Times New Roman" w:eastAsia="宋体" w:cs="Times New Roman"/>
      <w:kern w:val="0"/>
      <w:sz w:val="28"/>
      <w:szCs w:val="28"/>
      <w:lang w:val="en-US" w:eastAsia="zh-CN"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091300-6C65-4D0E-BCAD-8C6203566D09}">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1528</Words>
  <Characters>1567</Characters>
  <Lines>11</Lines>
  <Paragraphs>3</Paragraphs>
  <TotalTime>14</TotalTime>
  <ScaleCrop>false</ScaleCrop>
  <LinksUpToDate>false</LinksUpToDate>
  <CharactersWithSpaces>1573</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2025-06-10T03:27:00Z</dcterms:created>
  <dc:creator>绍豪 胡</dc:creator>
  <cp:lastModifiedBy>Lenovo</cp:lastModifiedBy>
  <cp:lastPrinted>2025-06-16T03:26:37Z</cp:lastPrinted>
  <dcterms:modified xsi:type="dcterms:W3CDTF">2025-06-16T06:05:59Z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eyJoZGlkIjoiYzI1MTE4MDcxYmZmODNhZGVmOGZlMTU3MDYxMTM1MjAiLCJ1c2VySWQiOiIzODc3NjY2NzkifQ==</vt:lpwstr>
  </property>
  <property fmtid="{D5CDD505-2E9C-101B-9397-08002B2CF9AE}" pid="3" name="KSOProductBuildVer">
    <vt:lpwstr>2052-11.8.6.9023</vt:lpwstr>
  </property>
  <property fmtid="{D5CDD505-2E9C-101B-9397-08002B2CF9AE}" pid="4" name="ICV">
    <vt:lpwstr>A36B3FE75EB94D8497DD27F06DB84D6A_13</vt:lpwstr>
  </property>
</Properties>
</file>