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0" w:firstLineChars="0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行政处罚告知书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480" w:lineRule="exact"/>
        <w:ind w:left="0" w:leftChars="0"/>
        <w:jc w:val="center"/>
        <w:textAlignment w:val="auto"/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b/>
          <w:bCs/>
          <w:sz w:val="30"/>
          <w:szCs w:val="30"/>
        </w:rPr>
        <w:t>文书编号：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331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656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经查，你（单位）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656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的行为，违反了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《××法》第×条第×款第×项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31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的规定，依据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《××法》第×条第×款第×项（含裁量基准适用情况）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的规定，本机关拟对你（单位）作出以下行政处罚：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54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Autospacing="0" w:line="4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□依据《中华人民共和国行政处罚法》第四十四条和第四十五条和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自然资源行政处罚办法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第二十七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的规定，你（单位）如对本机关上述认定的行政处罚内容及事实、理由、依据等有异议的，可以在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到本告知书之日起三个工作日内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向本机关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提出书面陈述、申辩意见；也可直接到本机关进行陈述、申辩。逾期未提出陈述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申辩的，视为你（单位）自动放弃上述权利。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33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795"/>
          <w:tab w:val="left" w:pos="639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795"/>
          <w:tab w:val="left" w:pos="639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2940" w:firstLineChars="14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120C7129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